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A2C02" w:rsidRDefault="00795023" w:rsidP="00795023">
      <w:pPr>
        <w:spacing w:after="200" w:line="264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95023">
        <w:rPr>
          <w:rFonts w:ascii="Times New Roman" w:eastAsia="Times New Roman" w:hAnsi="Times New Roman" w:cs="Times New Roman"/>
          <w:b/>
        </w:rPr>
        <w:t>Supp. File 1</w:t>
      </w:r>
      <w:r w:rsidR="00F452B8" w:rsidRPr="00795023">
        <w:rPr>
          <w:rFonts w:ascii="Times New Roman" w:eastAsia="Times New Roman" w:hAnsi="Times New Roman" w:cs="Times New Roman"/>
          <w:b/>
        </w:rPr>
        <w:t>.</w:t>
      </w:r>
      <w:r w:rsidR="00F452B8" w:rsidRPr="00795023">
        <w:rPr>
          <w:rFonts w:ascii="Times New Roman" w:eastAsia="Times New Roman" w:hAnsi="Times New Roman" w:cs="Times New Roman"/>
        </w:rPr>
        <w:t xml:space="preserve"> List of valid species of the genus </w:t>
      </w:r>
      <w:proofErr w:type="spellStart"/>
      <w:r w:rsidR="00F452B8" w:rsidRPr="00795023">
        <w:rPr>
          <w:rFonts w:ascii="Times New Roman" w:eastAsia="Times New Roman" w:hAnsi="Times New Roman" w:cs="Times New Roman"/>
          <w:i/>
        </w:rPr>
        <w:t>Polymerurus</w:t>
      </w:r>
      <w:proofErr w:type="spellEnd"/>
      <w:r w:rsidRPr="00795023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795023">
        <w:rPr>
          <w:rFonts w:ascii="Times New Roman" w:eastAsia="Times New Roman" w:hAnsi="Times New Roman" w:cs="Times New Roman"/>
        </w:rPr>
        <w:t>Remane</w:t>
      </w:r>
      <w:proofErr w:type="spellEnd"/>
      <w:r w:rsidR="00F452B8" w:rsidRPr="0079502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1927 </w:t>
      </w:r>
      <w:r w:rsidR="00F452B8" w:rsidRPr="00795023">
        <w:rPr>
          <w:rFonts w:ascii="Times New Roman" w:eastAsia="Times New Roman" w:hAnsi="Times New Roman" w:cs="Times New Roman"/>
        </w:rPr>
        <w:t xml:space="preserve">according to different versions in the literature. </w:t>
      </w:r>
      <w:r>
        <w:rPr>
          <w:rFonts w:ascii="Times New Roman" w:eastAsia="Times New Roman" w:hAnsi="Times New Roman" w:cs="Times New Roman"/>
        </w:rPr>
        <w:t xml:space="preserve">Abbreviations: </w:t>
      </w:r>
      <w:r w:rsidR="00F452B8" w:rsidRPr="00795023">
        <w:rPr>
          <w:rFonts w:ascii="Times New Roman" w:eastAsia="Times New Roman" w:hAnsi="Times New Roman" w:cs="Times New Roman"/>
        </w:rPr>
        <w:t>Si</w:t>
      </w:r>
      <w:r w:rsidRPr="00795023">
        <w:rPr>
          <w:rFonts w:ascii="Times New Roman" w:eastAsia="Times New Roman" w:hAnsi="Times New Roman" w:cs="Times New Roman"/>
        </w:rPr>
        <w:t xml:space="preserve"> =</w:t>
      </w:r>
      <w:r w:rsidR="00F452B8" w:rsidRPr="00795023">
        <w:rPr>
          <w:rFonts w:ascii="Times New Roman" w:eastAsia="Times New Roman" w:hAnsi="Times New Roman" w:cs="Times New Roman"/>
        </w:rPr>
        <w:t xml:space="preserve"> </w:t>
      </w:r>
      <w:r w:rsidR="00F452B8" w:rsidRPr="00795023">
        <w:rPr>
          <w:rFonts w:ascii="Times New Roman" w:eastAsia="Times New Roman" w:hAnsi="Times New Roman" w:cs="Times New Roman"/>
          <w:i/>
        </w:rPr>
        <w:t xml:space="preserve">Species </w:t>
      </w:r>
      <w:proofErr w:type="spellStart"/>
      <w:r w:rsidR="00F452B8" w:rsidRPr="00795023">
        <w:rPr>
          <w:rFonts w:ascii="Times New Roman" w:eastAsia="Times New Roman" w:hAnsi="Times New Roman" w:cs="Times New Roman"/>
          <w:i/>
        </w:rPr>
        <w:t>inquirenda</w:t>
      </w:r>
      <w:proofErr w:type="spellEnd"/>
      <w:r w:rsidRPr="00795023">
        <w:rPr>
          <w:rFonts w:ascii="Times New Roman" w:eastAsia="Times New Roman" w:hAnsi="Times New Roman" w:cs="Times New Roman"/>
        </w:rPr>
        <w:t>;</w:t>
      </w:r>
      <w:r w:rsidR="00F452B8" w:rsidRPr="007950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52B8" w:rsidRPr="00795023">
        <w:rPr>
          <w:rFonts w:ascii="Times New Roman" w:eastAsia="Times New Roman" w:hAnsi="Times New Roman" w:cs="Times New Roman"/>
        </w:rPr>
        <w:t>Nn</w:t>
      </w:r>
      <w:proofErr w:type="spellEnd"/>
      <w:r w:rsidRPr="00795023">
        <w:rPr>
          <w:rFonts w:ascii="Times New Roman" w:eastAsia="Times New Roman" w:hAnsi="Times New Roman" w:cs="Times New Roman"/>
        </w:rPr>
        <w:t xml:space="preserve"> =</w:t>
      </w:r>
      <w:r w:rsidR="00F452B8" w:rsidRPr="007950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52B8" w:rsidRPr="00795023">
        <w:rPr>
          <w:rFonts w:ascii="Times New Roman" w:eastAsia="Times New Roman" w:hAnsi="Times New Roman" w:cs="Times New Roman"/>
          <w:i/>
        </w:rPr>
        <w:t>Nomen</w:t>
      </w:r>
      <w:proofErr w:type="spellEnd"/>
      <w:r w:rsidR="00F452B8" w:rsidRPr="00795023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452B8" w:rsidRPr="00795023">
        <w:rPr>
          <w:rFonts w:ascii="Times New Roman" w:eastAsia="Times New Roman" w:hAnsi="Times New Roman" w:cs="Times New Roman"/>
          <w:i/>
        </w:rPr>
        <w:t>nudum</w:t>
      </w:r>
      <w:proofErr w:type="spellEnd"/>
      <w:r w:rsidRPr="00795023">
        <w:rPr>
          <w:rFonts w:ascii="Times New Roman" w:eastAsia="Times New Roman" w:hAnsi="Times New Roman" w:cs="Times New Roman"/>
        </w:rPr>
        <w:t>. Symbols</w:t>
      </w:r>
      <w:r>
        <w:rPr>
          <w:rFonts w:ascii="Times New Roman" w:eastAsia="Times New Roman" w:hAnsi="Times New Roman" w:cs="Times New Roman"/>
        </w:rPr>
        <w:t>:</w:t>
      </w:r>
      <w:r w:rsidRPr="00795023">
        <w:rPr>
          <w:rFonts w:ascii="Times New Roman" w:eastAsia="Times New Roman" w:hAnsi="Times New Roman" w:cs="Times New Roman"/>
        </w:rPr>
        <w:t xml:space="preserve"> X</w:t>
      </w:r>
      <w:r>
        <w:rPr>
          <w:rFonts w:ascii="Times New Roman" w:eastAsia="Times New Roman" w:hAnsi="Times New Roman" w:cs="Times New Roman"/>
        </w:rPr>
        <w:t xml:space="preserve"> =</w:t>
      </w:r>
      <w:r w:rsidRPr="00795023">
        <w:rPr>
          <w:rFonts w:ascii="Times New Roman" w:eastAsia="Times New Roman" w:hAnsi="Times New Roman" w:cs="Times New Roman"/>
        </w:rPr>
        <w:t xml:space="preserve"> present</w:t>
      </w:r>
      <w:r>
        <w:rPr>
          <w:rFonts w:ascii="Times New Roman" w:eastAsia="Times New Roman" w:hAnsi="Times New Roman" w:cs="Times New Roman"/>
        </w:rPr>
        <w:t>;</w:t>
      </w:r>
      <w:r w:rsidRPr="0079502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=</w:t>
      </w:r>
      <w:r w:rsidRPr="0079502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absent. References:</w:t>
      </w:r>
      <w:r w:rsidR="00F452B8" w:rsidRPr="00795023">
        <w:rPr>
          <w:rFonts w:ascii="Times New Roman" w:eastAsia="Times New Roman" w:hAnsi="Times New Roman" w:cs="Times New Roman"/>
          <w:i/>
        </w:rPr>
        <w:t xml:space="preserve"> </w:t>
      </w:r>
      <w:r w:rsidR="00F452B8" w:rsidRPr="0079502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=</w:t>
      </w:r>
      <w:r w:rsidR="00F452B8" w:rsidRPr="00795023">
        <w:rPr>
          <w:rFonts w:ascii="Times New Roman" w:eastAsia="Times New Roman" w:hAnsi="Times New Roman" w:cs="Times New Roman"/>
        </w:rPr>
        <w:t xml:space="preserve"> Balsamo </w:t>
      </w:r>
      <w:r w:rsidR="00F452B8" w:rsidRPr="00795023">
        <w:rPr>
          <w:rFonts w:ascii="Times New Roman" w:eastAsia="Times New Roman" w:hAnsi="Times New Roman" w:cs="Times New Roman"/>
          <w:i/>
        </w:rPr>
        <w:t>et al</w:t>
      </w:r>
      <w:r w:rsidR="00F452B8" w:rsidRPr="00795023">
        <w:rPr>
          <w:rFonts w:ascii="Times New Roman" w:eastAsia="Times New Roman" w:hAnsi="Times New Roman" w:cs="Times New Roman"/>
        </w:rPr>
        <w:t>. (2009)</w:t>
      </w:r>
      <w:r>
        <w:rPr>
          <w:rFonts w:ascii="Times New Roman" w:eastAsia="Times New Roman" w:hAnsi="Times New Roman" w:cs="Times New Roman"/>
        </w:rPr>
        <w:t>;</w:t>
      </w:r>
      <w:r w:rsidR="00F452B8" w:rsidRPr="00795023"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 xml:space="preserve"> =</w:t>
      </w:r>
      <w:r w:rsidR="00F452B8" w:rsidRPr="007950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52B8" w:rsidRPr="00795023">
        <w:rPr>
          <w:rFonts w:ascii="Times New Roman" w:eastAsia="Times New Roman" w:hAnsi="Times New Roman" w:cs="Times New Roman"/>
        </w:rPr>
        <w:t>Kieneke</w:t>
      </w:r>
      <w:proofErr w:type="spellEnd"/>
      <w:r w:rsidR="00F452B8" w:rsidRPr="00795023">
        <w:rPr>
          <w:rFonts w:ascii="Times New Roman" w:eastAsia="Times New Roman" w:hAnsi="Times New Roman" w:cs="Times New Roman"/>
        </w:rPr>
        <w:t xml:space="preserve"> &amp; Schmidt-</w:t>
      </w:r>
      <w:proofErr w:type="spellStart"/>
      <w:r w:rsidR="00F452B8" w:rsidRPr="00795023">
        <w:rPr>
          <w:rFonts w:ascii="Times New Roman" w:eastAsia="Times New Roman" w:hAnsi="Times New Roman" w:cs="Times New Roman"/>
        </w:rPr>
        <w:t>Rhaesa</w:t>
      </w:r>
      <w:proofErr w:type="spellEnd"/>
      <w:r w:rsidR="00F452B8" w:rsidRPr="00795023">
        <w:rPr>
          <w:rFonts w:ascii="Times New Roman" w:eastAsia="Times New Roman" w:hAnsi="Times New Roman" w:cs="Times New Roman"/>
        </w:rPr>
        <w:t xml:space="preserve"> (2015)</w:t>
      </w:r>
      <w:r>
        <w:rPr>
          <w:rFonts w:ascii="Times New Roman" w:eastAsia="Times New Roman" w:hAnsi="Times New Roman" w:cs="Times New Roman"/>
        </w:rPr>
        <w:t>;</w:t>
      </w:r>
      <w:r w:rsidR="00F452B8" w:rsidRPr="00795023">
        <w:rPr>
          <w:rFonts w:ascii="Times New Roman" w:eastAsia="Times New Roman" w:hAnsi="Times New Roman" w:cs="Times New Roman"/>
        </w:rPr>
        <w:t xml:space="preserve"> 3</w:t>
      </w:r>
      <w:r>
        <w:rPr>
          <w:rFonts w:ascii="Times New Roman" w:eastAsia="Times New Roman" w:hAnsi="Times New Roman" w:cs="Times New Roman"/>
        </w:rPr>
        <w:t xml:space="preserve"> =</w:t>
      </w:r>
      <w:r w:rsidR="00F452B8" w:rsidRPr="007950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52B8" w:rsidRPr="00795023"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</w:rPr>
        <w:t>RMS</w:t>
      </w:r>
      <w:proofErr w:type="spellEnd"/>
      <w:r w:rsidR="00F452B8" w:rsidRPr="00795023">
        <w:rPr>
          <w:rFonts w:ascii="Times New Roman" w:eastAsia="Times New Roman" w:hAnsi="Times New Roman" w:cs="Times New Roman"/>
        </w:rPr>
        <w:t xml:space="preserve"> (2019)</w:t>
      </w:r>
      <w:r>
        <w:rPr>
          <w:rFonts w:ascii="Times New Roman" w:eastAsia="Times New Roman" w:hAnsi="Times New Roman" w:cs="Times New Roman"/>
        </w:rPr>
        <w:t>;</w:t>
      </w:r>
      <w:r w:rsidR="00F452B8" w:rsidRPr="00795023">
        <w:rPr>
          <w:rFonts w:ascii="Times New Roman" w:eastAsia="Times New Roman" w:hAnsi="Times New Roman" w:cs="Times New Roman"/>
        </w:rPr>
        <w:t xml:space="preserve"> 4</w:t>
      </w:r>
      <w:r>
        <w:rPr>
          <w:rFonts w:ascii="Times New Roman" w:eastAsia="Times New Roman" w:hAnsi="Times New Roman" w:cs="Times New Roman"/>
        </w:rPr>
        <w:t xml:space="preserve"> =</w:t>
      </w:r>
      <w:r w:rsidR="00F452B8" w:rsidRPr="00795023">
        <w:rPr>
          <w:rFonts w:ascii="Times New Roman" w:eastAsia="Times New Roman" w:hAnsi="Times New Roman" w:cs="Times New Roman"/>
        </w:rPr>
        <w:t xml:space="preserve"> Todaro (2019).</w:t>
      </w:r>
      <w:r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EF4443" w:rsidRPr="00652C47">
          <w:rPr>
            <w:rStyle w:val="Hipervnculo"/>
            <w:rFonts w:ascii="Times New Roman" w:eastAsia="Times New Roman" w:hAnsi="Times New Roman" w:cs="Times New Roman"/>
          </w:rPr>
          <w:t>https://doi.org/10.5852/ejt.2021.746.1319.4025</w:t>
        </w:r>
      </w:hyperlink>
    </w:p>
    <w:p w:rsidR="00795023" w:rsidRDefault="00795023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tbl>
      <w:tblPr>
        <w:tblStyle w:val="a0"/>
        <w:tblW w:w="7815" w:type="dxa"/>
        <w:jc w:val="center"/>
        <w:tblLayout w:type="fixed"/>
        <w:tblLook w:val="0600" w:firstRow="0" w:lastRow="0" w:firstColumn="0" w:lastColumn="0" w:noHBand="1" w:noVBand="1"/>
      </w:tblPr>
      <w:tblGrid>
        <w:gridCol w:w="5205"/>
        <w:gridCol w:w="690"/>
        <w:gridCol w:w="690"/>
        <w:gridCol w:w="615"/>
        <w:gridCol w:w="615"/>
      </w:tblGrid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Species name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A2C02" w:rsidRPr="00795023">
        <w:trPr>
          <w:trHeight w:val="283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andreae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Hochberg, 2005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biroi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Daday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1901)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callosus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Brunson, 1950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corumbensis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Kisielewski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elongatus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Daday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1905)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entzii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Daday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1882)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hirsutus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Remane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1929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hystrix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Daday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1910)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longicaudatus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Tatem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1867)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macracanthus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Lauterborn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1894)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(Collin, 1897) 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magnus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Visvesvara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1963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nodicaudus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(Voigt, 1901)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nodifurca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Marcolongo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1910)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paraelongatus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Grosso &amp;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Drahg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1986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rhomboides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(Stokes, 1887)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ringueleti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Grosso, 1975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serraticaudus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(Voigt, 1901)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squammofurcatus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Preobrajenskaja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1926)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A2C02" w:rsidRPr="00795023">
        <w:trPr>
          <w:trHeight w:val="52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squammofurcatus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squammofurcatus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Preobrajenskaja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1926)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452B8"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A2C02" w:rsidRPr="00795023">
        <w:trPr>
          <w:trHeight w:val="300"/>
          <w:jc w:val="center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2C02" w:rsidRPr="00795023" w:rsidRDefault="00F452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Polymerurus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squammofurcatus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matogrossensis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Kisielewski</w:t>
            </w:r>
            <w:proofErr w:type="spellEnd"/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A2C02" w:rsidRPr="00795023" w:rsidRDefault="00F452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2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2C02" w:rsidRPr="00795023" w:rsidRDefault="007950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1A2C02" w:rsidRDefault="001A2C02">
      <w:pPr>
        <w:widowControl w:val="0"/>
        <w:spacing w:line="360" w:lineRule="auto"/>
        <w:ind w:left="-284"/>
      </w:pPr>
    </w:p>
    <w:sectPr w:rsidR="001A2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1417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697" w:rsidRDefault="00815697" w:rsidP="00795023">
      <w:pPr>
        <w:spacing w:line="240" w:lineRule="auto"/>
      </w:pPr>
      <w:r>
        <w:separator/>
      </w:r>
    </w:p>
  </w:endnote>
  <w:endnote w:type="continuationSeparator" w:id="0">
    <w:p w:rsidR="00815697" w:rsidRDefault="00815697" w:rsidP="00795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3" w:rsidRDefault="007950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3" w:rsidRDefault="007950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3" w:rsidRDefault="007950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697" w:rsidRDefault="00815697" w:rsidP="00795023">
      <w:pPr>
        <w:spacing w:line="240" w:lineRule="auto"/>
      </w:pPr>
      <w:r>
        <w:separator/>
      </w:r>
    </w:p>
  </w:footnote>
  <w:footnote w:type="continuationSeparator" w:id="0">
    <w:p w:rsidR="00815697" w:rsidRDefault="00815697" w:rsidP="007950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3" w:rsidRDefault="007950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3" w:rsidRDefault="007950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3" w:rsidRDefault="00795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2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02"/>
    <w:rsid w:val="001A2C02"/>
    <w:rsid w:val="00795023"/>
    <w:rsid w:val="00815697"/>
    <w:rsid w:val="00EF4443"/>
    <w:rsid w:val="00F4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881B7"/>
  <w15:docId w15:val="{8AE1E27B-493A-5B45-8EDE-F061688A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43E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3E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3E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E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E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E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E94"/>
    <w:rPr>
      <w:rFonts w:ascii="Segoe UI" w:hAnsi="Segoe UI" w:cs="Segoe UI"/>
      <w:sz w:val="18"/>
      <w:szCs w:val="18"/>
    </w:rPr>
  </w:style>
  <w:style w:type="table" w:customStyle="1" w:styleId="a0">
    <w:basedOn w:val="Tabla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79502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023"/>
  </w:style>
  <w:style w:type="paragraph" w:styleId="Piedepgina">
    <w:name w:val="footer"/>
    <w:basedOn w:val="Normal"/>
    <w:link w:val="PiedepginaCar"/>
    <w:uiPriority w:val="99"/>
    <w:unhideWhenUsed/>
    <w:rsid w:val="0079502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023"/>
  </w:style>
  <w:style w:type="character" w:styleId="Hipervnculo">
    <w:name w:val="Hyperlink"/>
    <w:basedOn w:val="Fuentedeprrafopredeter"/>
    <w:uiPriority w:val="99"/>
    <w:unhideWhenUsed/>
    <w:rsid w:val="00EF44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4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5852/ejt.2021.746.1319.402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lLFu14z0sKqEw9qCGJVtU1GS4g==">AMUW2mVG98sQ/oYNIbUF43jtNKYdP3DsI7FpNIPuV/N8PZk/fF3DJ8zOhjI7+QfRBO19AuIJjKoc0lLgsdiaEhXjYFMYHkavLAQHqEfp5ASmZRySiBrDN0O1szHFtPHGGcGOgpybr14k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2020-12-16T13:23:00Z</dcterms:created>
  <dcterms:modified xsi:type="dcterms:W3CDTF">2021-04-18T18:53:00Z</dcterms:modified>
</cp:coreProperties>
</file>