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D33D" w14:textId="23E57CBA" w:rsidR="005F339B" w:rsidRDefault="005F339B" w:rsidP="00E4204D">
      <w:pPr>
        <w:jc w:val="both"/>
        <w:rPr>
          <w:lang w:val="en-GB"/>
        </w:rPr>
      </w:pPr>
      <w:r>
        <w:rPr>
          <w:lang w:val="en-GB"/>
        </w:rPr>
        <w:t>https://doi.org/10.5852/ejt.2022.</w:t>
      </w:r>
    </w:p>
    <w:p w14:paraId="63DB18A8" w14:textId="77777777" w:rsidR="005F339B" w:rsidRDefault="005F339B" w:rsidP="00E4204D">
      <w:pPr>
        <w:jc w:val="both"/>
        <w:rPr>
          <w:lang w:val="en-GB"/>
        </w:rPr>
      </w:pPr>
    </w:p>
    <w:p w14:paraId="63CA19B3" w14:textId="40219843" w:rsidR="00AF431E" w:rsidRPr="00672130" w:rsidRDefault="00AF431E" w:rsidP="00E4204D">
      <w:pPr>
        <w:jc w:val="both"/>
        <w:rPr>
          <w:lang w:val="en-GB"/>
        </w:rPr>
      </w:pPr>
      <w:r w:rsidRPr="00672130">
        <w:rPr>
          <w:lang w:val="en-GB"/>
        </w:rPr>
        <w:t>Supplementa</w:t>
      </w:r>
      <w:r w:rsidR="00E4204D">
        <w:rPr>
          <w:lang w:val="en-GB"/>
        </w:rPr>
        <w:t>l</w:t>
      </w:r>
      <w:r w:rsidRPr="00672130">
        <w:rPr>
          <w:lang w:val="en-GB"/>
        </w:rPr>
        <w:t xml:space="preserve"> Video S1. </w:t>
      </w:r>
      <w:proofErr w:type="spellStart"/>
      <w:r w:rsidRPr="00672130">
        <w:rPr>
          <w:i/>
          <w:lang w:val="en-GB"/>
        </w:rPr>
        <w:t>Loimia</w:t>
      </w:r>
      <w:proofErr w:type="spellEnd"/>
      <w:r w:rsidRPr="00672130">
        <w:rPr>
          <w:i/>
          <w:lang w:val="en-GB"/>
        </w:rPr>
        <w:t xml:space="preserve"> </w:t>
      </w:r>
      <w:proofErr w:type="spellStart"/>
      <w:r w:rsidRPr="00672130">
        <w:rPr>
          <w:i/>
          <w:lang w:val="en-GB"/>
        </w:rPr>
        <w:t>davidi</w:t>
      </w:r>
      <w:proofErr w:type="spellEnd"/>
      <w:r w:rsidRPr="00672130">
        <w:rPr>
          <w:i/>
          <w:lang w:val="en-GB"/>
        </w:rPr>
        <w:t xml:space="preserve"> </w:t>
      </w:r>
      <w:r w:rsidRPr="00672130">
        <w:rPr>
          <w:lang w:val="en-GB"/>
        </w:rPr>
        <w:t xml:space="preserve">sp. </w:t>
      </w:r>
      <w:proofErr w:type="spellStart"/>
      <w:r w:rsidRPr="00672130">
        <w:rPr>
          <w:lang w:val="en-GB"/>
        </w:rPr>
        <w:t>nov.</w:t>
      </w:r>
      <w:proofErr w:type="spellEnd"/>
      <w:r w:rsidRPr="00672130">
        <w:rPr>
          <w:lang w:val="en-GB"/>
        </w:rPr>
        <w:t xml:space="preserve"> Video recording of the living largest specimen. 0–18”: whole body in lateral view, fragmented in two portions; 19–24”: Thorax in ventral view. 25–49”: Anterior end in ventral view, particularly showing the rhythmic contractions of branchial filaments. Accessible at: </w:t>
      </w:r>
    </w:p>
    <w:p w14:paraId="4BB7478B" w14:textId="77777777" w:rsidR="00E4204D" w:rsidRDefault="00E4204D" w:rsidP="00E4204D">
      <w:pPr>
        <w:jc w:val="both"/>
      </w:pPr>
    </w:p>
    <w:p w14:paraId="5B48E502" w14:textId="7D97E6DE" w:rsidR="00AF431E" w:rsidRPr="00E4204D" w:rsidRDefault="005F339B" w:rsidP="00E4204D">
      <w:pPr>
        <w:jc w:val="both"/>
      </w:pPr>
      <w:hyperlink r:id="rId6" w:history="1">
        <w:r w:rsidR="00E4204D" w:rsidRPr="00D827DB">
          <w:rPr>
            <w:rStyle w:val="Hyperlink"/>
          </w:rPr>
          <w:t>https://saco.csic.es/index.php/s/Ww2kP2ZcrSNbTGz</w:t>
        </w:r>
      </w:hyperlink>
    </w:p>
    <w:p w14:paraId="168656AB" w14:textId="6567DEAC" w:rsidR="00AF431E" w:rsidRPr="00E4204D" w:rsidRDefault="00AF431E" w:rsidP="00E4204D">
      <w:pPr>
        <w:jc w:val="both"/>
      </w:pPr>
    </w:p>
    <w:p w14:paraId="5CD648B8" w14:textId="77777777" w:rsidR="00E4204D" w:rsidRPr="00E4204D" w:rsidRDefault="00E4204D" w:rsidP="00E4204D">
      <w:pPr>
        <w:jc w:val="both"/>
      </w:pPr>
    </w:p>
    <w:p w14:paraId="3AB7A8E6" w14:textId="4780D240" w:rsidR="00AF431E" w:rsidRDefault="00AF431E" w:rsidP="00E4204D">
      <w:pPr>
        <w:jc w:val="both"/>
        <w:rPr>
          <w:lang w:val="en-GB"/>
        </w:rPr>
      </w:pPr>
      <w:r w:rsidRPr="00672130">
        <w:rPr>
          <w:lang w:val="en-GB"/>
        </w:rPr>
        <w:t>Supplementa</w:t>
      </w:r>
      <w:r w:rsidR="00E4204D">
        <w:rPr>
          <w:lang w:val="en-GB"/>
        </w:rPr>
        <w:t>l</w:t>
      </w:r>
      <w:r w:rsidRPr="00672130">
        <w:rPr>
          <w:lang w:val="en-GB"/>
        </w:rPr>
        <w:t xml:space="preserve"> Table S1. Character codification used in hypervolume calculations.</w:t>
      </w:r>
    </w:p>
    <w:p w14:paraId="340EC7FA" w14:textId="77777777" w:rsidR="00E4204D" w:rsidRPr="00672130" w:rsidRDefault="00E4204D" w:rsidP="00E4204D">
      <w:pPr>
        <w:jc w:val="both"/>
        <w:rPr>
          <w:lang w:val="en-GB"/>
        </w:rPr>
      </w:pPr>
    </w:p>
    <w:tbl>
      <w:tblPr>
        <w:tblW w:w="5000" w:type="pct"/>
        <w:tblLook w:val="04A0" w:firstRow="1" w:lastRow="0" w:firstColumn="1" w:lastColumn="0" w:noHBand="0" w:noVBand="1"/>
      </w:tblPr>
      <w:tblGrid>
        <w:gridCol w:w="2649"/>
        <w:gridCol w:w="2270"/>
        <w:gridCol w:w="3579"/>
      </w:tblGrid>
      <w:tr w:rsidR="00AF431E" w:rsidRPr="00C402A6" w14:paraId="0A652F57" w14:textId="77777777" w:rsidTr="00E4204D">
        <w:tc>
          <w:tcPr>
            <w:tcW w:w="938" w:type="pct"/>
            <w:tcBorders>
              <w:top w:val="single" w:sz="4" w:space="0" w:color="auto"/>
              <w:left w:val="nil"/>
              <w:bottom w:val="single" w:sz="4" w:space="0" w:color="auto"/>
              <w:right w:val="nil"/>
            </w:tcBorders>
            <w:shd w:val="clear" w:color="auto" w:fill="auto"/>
            <w:noWrap/>
            <w:hideMark/>
          </w:tcPr>
          <w:p w14:paraId="6243956C" w14:textId="77777777" w:rsidR="00AF431E" w:rsidRPr="00C402A6" w:rsidRDefault="00AF431E" w:rsidP="00E4204D">
            <w:pPr>
              <w:rPr>
                <w:color w:val="000000"/>
                <w:sz w:val="20"/>
                <w:szCs w:val="20"/>
              </w:rPr>
            </w:pPr>
            <w:r w:rsidRPr="00C402A6">
              <w:rPr>
                <w:color w:val="000000"/>
                <w:sz w:val="20"/>
                <w:szCs w:val="20"/>
              </w:rPr>
              <w:t>Characters</w:t>
            </w:r>
          </w:p>
        </w:tc>
        <w:tc>
          <w:tcPr>
            <w:tcW w:w="1303" w:type="pct"/>
            <w:tcBorders>
              <w:top w:val="single" w:sz="4" w:space="0" w:color="auto"/>
              <w:left w:val="nil"/>
              <w:bottom w:val="single" w:sz="4" w:space="0" w:color="auto"/>
              <w:right w:val="nil"/>
            </w:tcBorders>
            <w:shd w:val="clear" w:color="auto" w:fill="auto"/>
            <w:noWrap/>
            <w:hideMark/>
          </w:tcPr>
          <w:p w14:paraId="55C84100" w14:textId="77777777" w:rsidR="00AF431E" w:rsidRPr="00C402A6" w:rsidRDefault="00AF431E" w:rsidP="00E4204D">
            <w:pPr>
              <w:rPr>
                <w:color w:val="000000"/>
                <w:sz w:val="20"/>
                <w:szCs w:val="20"/>
              </w:rPr>
            </w:pPr>
            <w:r w:rsidRPr="00C402A6">
              <w:rPr>
                <w:color w:val="000000"/>
                <w:sz w:val="20"/>
                <w:szCs w:val="20"/>
              </w:rPr>
              <w:t>Type</w:t>
            </w:r>
          </w:p>
        </w:tc>
        <w:tc>
          <w:tcPr>
            <w:tcW w:w="2759" w:type="pct"/>
            <w:tcBorders>
              <w:top w:val="single" w:sz="4" w:space="0" w:color="auto"/>
              <w:left w:val="nil"/>
              <w:bottom w:val="single" w:sz="4" w:space="0" w:color="auto"/>
              <w:right w:val="nil"/>
            </w:tcBorders>
            <w:shd w:val="clear" w:color="auto" w:fill="auto"/>
            <w:hideMark/>
          </w:tcPr>
          <w:p w14:paraId="7E7284FF" w14:textId="77777777" w:rsidR="00AF431E" w:rsidRPr="00C402A6" w:rsidRDefault="00AF431E" w:rsidP="00E4204D">
            <w:pPr>
              <w:rPr>
                <w:color w:val="000000"/>
                <w:sz w:val="20"/>
                <w:szCs w:val="20"/>
              </w:rPr>
            </w:pPr>
            <w:r w:rsidRPr="00C402A6">
              <w:rPr>
                <w:color w:val="000000"/>
                <w:sz w:val="20"/>
                <w:szCs w:val="20"/>
              </w:rPr>
              <w:t>Definition</w:t>
            </w:r>
          </w:p>
        </w:tc>
      </w:tr>
      <w:tr w:rsidR="00AF431E" w:rsidRPr="00C402A6" w14:paraId="50879391" w14:textId="77777777" w:rsidTr="00E4204D">
        <w:tc>
          <w:tcPr>
            <w:tcW w:w="938" w:type="pct"/>
            <w:tcBorders>
              <w:top w:val="single" w:sz="4" w:space="0" w:color="auto"/>
              <w:left w:val="nil"/>
              <w:bottom w:val="nil"/>
              <w:right w:val="nil"/>
            </w:tcBorders>
            <w:shd w:val="clear" w:color="auto" w:fill="auto"/>
            <w:noWrap/>
            <w:hideMark/>
          </w:tcPr>
          <w:p w14:paraId="66D5C417" w14:textId="77777777" w:rsidR="00AF431E" w:rsidRPr="00C402A6" w:rsidRDefault="00AF431E" w:rsidP="00E4204D">
            <w:pPr>
              <w:rPr>
                <w:color w:val="000000"/>
                <w:sz w:val="20"/>
                <w:szCs w:val="20"/>
              </w:rPr>
            </w:pPr>
            <w:r w:rsidRPr="00C402A6">
              <w:rPr>
                <w:color w:val="000000"/>
                <w:sz w:val="20"/>
                <w:szCs w:val="20"/>
              </w:rPr>
              <w:t>Maximum body length</w:t>
            </w:r>
          </w:p>
        </w:tc>
        <w:tc>
          <w:tcPr>
            <w:tcW w:w="1303" w:type="pct"/>
            <w:tcBorders>
              <w:top w:val="single" w:sz="4" w:space="0" w:color="auto"/>
              <w:left w:val="nil"/>
              <w:bottom w:val="nil"/>
              <w:right w:val="nil"/>
            </w:tcBorders>
            <w:shd w:val="clear" w:color="auto" w:fill="auto"/>
            <w:noWrap/>
            <w:hideMark/>
          </w:tcPr>
          <w:p w14:paraId="31D09BFE" w14:textId="77777777" w:rsidR="00AF431E" w:rsidRPr="00C402A6" w:rsidRDefault="00AF431E" w:rsidP="00E4204D">
            <w:pPr>
              <w:rPr>
                <w:color w:val="000000"/>
                <w:sz w:val="20"/>
                <w:szCs w:val="20"/>
              </w:rPr>
            </w:pPr>
            <w:r w:rsidRPr="00C402A6">
              <w:rPr>
                <w:color w:val="000000"/>
                <w:sz w:val="20"/>
                <w:szCs w:val="20"/>
              </w:rPr>
              <w:t>0, &lt;100</w:t>
            </w:r>
            <w:r>
              <w:rPr>
                <w:color w:val="000000"/>
                <w:sz w:val="20"/>
                <w:szCs w:val="20"/>
              </w:rPr>
              <w:t xml:space="preserve"> </w:t>
            </w:r>
            <w:r w:rsidRPr="00C402A6">
              <w:rPr>
                <w:color w:val="000000"/>
                <w:sz w:val="20"/>
                <w:szCs w:val="20"/>
              </w:rPr>
              <w:t>mm; 1, &gt;100 mm</w:t>
            </w:r>
          </w:p>
        </w:tc>
        <w:tc>
          <w:tcPr>
            <w:tcW w:w="2759" w:type="pct"/>
            <w:tcBorders>
              <w:top w:val="single" w:sz="4" w:space="0" w:color="auto"/>
              <w:left w:val="nil"/>
              <w:bottom w:val="nil"/>
              <w:right w:val="nil"/>
            </w:tcBorders>
            <w:shd w:val="clear" w:color="auto" w:fill="auto"/>
            <w:hideMark/>
          </w:tcPr>
          <w:p w14:paraId="2AFD3FDC" w14:textId="77777777" w:rsidR="00AF431E" w:rsidRPr="00C402A6" w:rsidRDefault="00AF431E" w:rsidP="00E4204D">
            <w:pPr>
              <w:rPr>
                <w:color w:val="000000"/>
                <w:sz w:val="20"/>
                <w:szCs w:val="20"/>
              </w:rPr>
            </w:pPr>
            <w:r w:rsidRPr="00C402A6">
              <w:rPr>
                <w:color w:val="000000"/>
                <w:sz w:val="20"/>
                <w:szCs w:val="20"/>
              </w:rPr>
              <w:t>Maximum body lengh reported in the literature</w:t>
            </w:r>
            <w:r>
              <w:rPr>
                <w:color w:val="000000"/>
                <w:sz w:val="20"/>
                <w:szCs w:val="20"/>
              </w:rPr>
              <w:t>.</w:t>
            </w:r>
          </w:p>
        </w:tc>
      </w:tr>
      <w:tr w:rsidR="00AF431E" w:rsidRPr="00C402A6" w14:paraId="426A662C" w14:textId="77777777" w:rsidTr="00E4204D">
        <w:tc>
          <w:tcPr>
            <w:tcW w:w="938" w:type="pct"/>
            <w:tcBorders>
              <w:top w:val="nil"/>
              <w:left w:val="nil"/>
              <w:bottom w:val="nil"/>
              <w:right w:val="nil"/>
            </w:tcBorders>
            <w:shd w:val="clear" w:color="auto" w:fill="auto"/>
            <w:noWrap/>
            <w:hideMark/>
          </w:tcPr>
          <w:p w14:paraId="7C3507CD" w14:textId="77777777" w:rsidR="00AF431E" w:rsidRPr="00C402A6" w:rsidRDefault="00AF431E" w:rsidP="00E4204D">
            <w:pPr>
              <w:rPr>
                <w:color w:val="000000"/>
                <w:sz w:val="20"/>
                <w:szCs w:val="20"/>
              </w:rPr>
            </w:pPr>
            <w:r w:rsidRPr="00C402A6">
              <w:rPr>
                <w:color w:val="000000"/>
                <w:sz w:val="20"/>
                <w:szCs w:val="20"/>
              </w:rPr>
              <w:t>Presence of eyespots</w:t>
            </w:r>
          </w:p>
        </w:tc>
        <w:tc>
          <w:tcPr>
            <w:tcW w:w="1303" w:type="pct"/>
            <w:tcBorders>
              <w:top w:val="nil"/>
              <w:left w:val="nil"/>
              <w:bottom w:val="nil"/>
              <w:right w:val="nil"/>
            </w:tcBorders>
            <w:shd w:val="clear" w:color="auto" w:fill="auto"/>
            <w:noWrap/>
            <w:hideMark/>
          </w:tcPr>
          <w:p w14:paraId="1979336B" w14:textId="77777777" w:rsidR="00AF431E" w:rsidRPr="00C402A6" w:rsidRDefault="00AF431E" w:rsidP="00E4204D">
            <w:pPr>
              <w:rPr>
                <w:color w:val="000000"/>
                <w:sz w:val="20"/>
                <w:szCs w:val="20"/>
              </w:rPr>
            </w:pPr>
            <w:r w:rsidRPr="00C402A6">
              <w:rPr>
                <w:color w:val="000000"/>
                <w:sz w:val="20"/>
                <w:szCs w:val="20"/>
              </w:rPr>
              <w:t>0, absence; 1, present</w:t>
            </w:r>
          </w:p>
        </w:tc>
        <w:tc>
          <w:tcPr>
            <w:tcW w:w="2759" w:type="pct"/>
            <w:tcBorders>
              <w:top w:val="nil"/>
              <w:left w:val="nil"/>
              <w:bottom w:val="nil"/>
              <w:right w:val="nil"/>
            </w:tcBorders>
            <w:shd w:val="clear" w:color="auto" w:fill="auto"/>
            <w:hideMark/>
          </w:tcPr>
          <w:p w14:paraId="59B651BB" w14:textId="77777777" w:rsidR="00AF431E" w:rsidRPr="00C402A6" w:rsidRDefault="00AF431E" w:rsidP="00E4204D">
            <w:pPr>
              <w:rPr>
                <w:color w:val="000000"/>
                <w:sz w:val="20"/>
                <w:szCs w:val="20"/>
              </w:rPr>
            </w:pPr>
            <w:r w:rsidRPr="00C402A6">
              <w:rPr>
                <w:color w:val="000000"/>
                <w:sz w:val="20"/>
                <w:szCs w:val="20"/>
              </w:rPr>
              <w:t>Presence of pigmented eyespot in the prostomium. The character has been coded as presence for the species as long as it has been reported for some individuals</w:t>
            </w:r>
            <w:r>
              <w:rPr>
                <w:color w:val="000000"/>
                <w:sz w:val="20"/>
                <w:szCs w:val="20"/>
              </w:rPr>
              <w:t>.</w:t>
            </w:r>
          </w:p>
        </w:tc>
      </w:tr>
      <w:tr w:rsidR="00AF431E" w:rsidRPr="00C402A6" w14:paraId="70BDD86F" w14:textId="77777777" w:rsidTr="00E4204D">
        <w:tc>
          <w:tcPr>
            <w:tcW w:w="938" w:type="pct"/>
            <w:tcBorders>
              <w:top w:val="nil"/>
              <w:left w:val="nil"/>
              <w:bottom w:val="nil"/>
              <w:right w:val="nil"/>
            </w:tcBorders>
            <w:shd w:val="clear" w:color="auto" w:fill="auto"/>
            <w:noWrap/>
            <w:hideMark/>
          </w:tcPr>
          <w:p w14:paraId="06DE8DC4" w14:textId="77777777" w:rsidR="00AF431E" w:rsidRPr="00C402A6" w:rsidRDefault="00AF431E" w:rsidP="00E4204D">
            <w:pPr>
              <w:rPr>
                <w:color w:val="000000"/>
                <w:sz w:val="20"/>
                <w:szCs w:val="20"/>
              </w:rPr>
            </w:pPr>
            <w:r w:rsidRPr="00C402A6">
              <w:rPr>
                <w:color w:val="000000"/>
                <w:sz w:val="20"/>
                <w:szCs w:val="20"/>
              </w:rPr>
              <w:t>Presence of lappes segments 1</w:t>
            </w:r>
          </w:p>
        </w:tc>
        <w:tc>
          <w:tcPr>
            <w:tcW w:w="1303" w:type="pct"/>
            <w:tcBorders>
              <w:top w:val="nil"/>
              <w:left w:val="nil"/>
              <w:bottom w:val="nil"/>
              <w:right w:val="nil"/>
            </w:tcBorders>
            <w:shd w:val="clear" w:color="auto" w:fill="auto"/>
            <w:noWrap/>
            <w:hideMark/>
          </w:tcPr>
          <w:p w14:paraId="22F13B46" w14:textId="77777777" w:rsidR="00AF431E" w:rsidRPr="00C402A6" w:rsidRDefault="00AF431E" w:rsidP="00E4204D">
            <w:pPr>
              <w:rPr>
                <w:color w:val="000000"/>
                <w:sz w:val="20"/>
                <w:szCs w:val="20"/>
              </w:rPr>
            </w:pPr>
            <w:r w:rsidRPr="00C402A6">
              <w:rPr>
                <w:color w:val="000000"/>
                <w:sz w:val="20"/>
                <w:szCs w:val="20"/>
              </w:rPr>
              <w:t>0, absence; 1, present</w:t>
            </w:r>
          </w:p>
        </w:tc>
        <w:tc>
          <w:tcPr>
            <w:tcW w:w="2759" w:type="pct"/>
            <w:vMerge w:val="restart"/>
            <w:tcBorders>
              <w:top w:val="nil"/>
              <w:left w:val="nil"/>
              <w:bottom w:val="nil"/>
              <w:right w:val="nil"/>
            </w:tcBorders>
            <w:shd w:val="clear" w:color="auto" w:fill="auto"/>
            <w:hideMark/>
          </w:tcPr>
          <w:p w14:paraId="1B7BA035" w14:textId="77777777" w:rsidR="00AF431E" w:rsidRPr="00C402A6" w:rsidRDefault="00AF431E" w:rsidP="00E4204D">
            <w:pPr>
              <w:rPr>
                <w:color w:val="000000"/>
                <w:sz w:val="20"/>
                <w:szCs w:val="20"/>
              </w:rPr>
            </w:pPr>
            <w:r w:rsidRPr="00C402A6">
              <w:rPr>
                <w:color w:val="000000"/>
                <w:sz w:val="20"/>
                <w:szCs w:val="20"/>
              </w:rPr>
              <w:t>Lappets on the first segment are observed as lobes originating laterally next to the origin of each branchiae. Sometimes they are fused dorsally forming a contiunous hood-like structure on the segment 1. Further information on their morphology was excluded from our analyses as it is not consistently included in the literature.</w:t>
            </w:r>
          </w:p>
        </w:tc>
      </w:tr>
      <w:tr w:rsidR="00AF431E" w:rsidRPr="00C402A6" w14:paraId="3FCCD44D" w14:textId="77777777" w:rsidTr="00E4204D">
        <w:tc>
          <w:tcPr>
            <w:tcW w:w="938" w:type="pct"/>
            <w:tcBorders>
              <w:top w:val="nil"/>
              <w:left w:val="nil"/>
              <w:bottom w:val="nil"/>
              <w:right w:val="nil"/>
            </w:tcBorders>
            <w:shd w:val="clear" w:color="auto" w:fill="auto"/>
            <w:noWrap/>
            <w:hideMark/>
          </w:tcPr>
          <w:p w14:paraId="3E250998" w14:textId="77777777" w:rsidR="00AF431E" w:rsidRPr="00C402A6" w:rsidRDefault="00AF431E" w:rsidP="00E4204D">
            <w:pPr>
              <w:rPr>
                <w:color w:val="000000"/>
                <w:sz w:val="20"/>
                <w:szCs w:val="20"/>
              </w:rPr>
            </w:pPr>
            <w:r w:rsidRPr="00C402A6">
              <w:rPr>
                <w:color w:val="000000"/>
                <w:sz w:val="20"/>
                <w:szCs w:val="20"/>
              </w:rPr>
              <w:t>Presence of lappes segments 2</w:t>
            </w:r>
          </w:p>
        </w:tc>
        <w:tc>
          <w:tcPr>
            <w:tcW w:w="1303" w:type="pct"/>
            <w:tcBorders>
              <w:top w:val="nil"/>
              <w:left w:val="nil"/>
              <w:bottom w:val="nil"/>
              <w:right w:val="nil"/>
            </w:tcBorders>
            <w:shd w:val="clear" w:color="auto" w:fill="auto"/>
            <w:noWrap/>
            <w:hideMark/>
          </w:tcPr>
          <w:p w14:paraId="2DEDDC05" w14:textId="77777777" w:rsidR="00AF431E" w:rsidRPr="00C402A6" w:rsidRDefault="00AF431E" w:rsidP="00E4204D">
            <w:pPr>
              <w:rPr>
                <w:color w:val="000000"/>
                <w:sz w:val="20"/>
                <w:szCs w:val="20"/>
              </w:rPr>
            </w:pPr>
            <w:r w:rsidRPr="00C402A6">
              <w:rPr>
                <w:color w:val="000000"/>
                <w:sz w:val="20"/>
                <w:szCs w:val="20"/>
              </w:rPr>
              <w:t>0, absence; 1, present</w:t>
            </w:r>
          </w:p>
        </w:tc>
        <w:tc>
          <w:tcPr>
            <w:tcW w:w="2759" w:type="pct"/>
            <w:vMerge/>
            <w:tcBorders>
              <w:top w:val="nil"/>
              <w:left w:val="nil"/>
              <w:bottom w:val="nil"/>
              <w:right w:val="nil"/>
            </w:tcBorders>
            <w:hideMark/>
          </w:tcPr>
          <w:p w14:paraId="191E7074" w14:textId="77777777" w:rsidR="00AF431E" w:rsidRPr="00C402A6" w:rsidRDefault="00AF431E" w:rsidP="00E4204D">
            <w:pPr>
              <w:rPr>
                <w:color w:val="000000"/>
                <w:sz w:val="20"/>
                <w:szCs w:val="20"/>
              </w:rPr>
            </w:pPr>
          </w:p>
        </w:tc>
      </w:tr>
      <w:tr w:rsidR="00AF431E" w:rsidRPr="00C402A6" w14:paraId="7FE91B02" w14:textId="77777777" w:rsidTr="00E4204D">
        <w:tc>
          <w:tcPr>
            <w:tcW w:w="938" w:type="pct"/>
            <w:tcBorders>
              <w:top w:val="nil"/>
              <w:left w:val="nil"/>
              <w:bottom w:val="nil"/>
              <w:right w:val="nil"/>
            </w:tcBorders>
            <w:shd w:val="clear" w:color="auto" w:fill="auto"/>
            <w:noWrap/>
            <w:hideMark/>
          </w:tcPr>
          <w:p w14:paraId="2FF976B9" w14:textId="77777777" w:rsidR="00AF431E" w:rsidRPr="00C402A6" w:rsidRDefault="00AF431E" w:rsidP="00E4204D">
            <w:pPr>
              <w:rPr>
                <w:color w:val="000000"/>
                <w:sz w:val="20"/>
                <w:szCs w:val="20"/>
              </w:rPr>
            </w:pPr>
            <w:r w:rsidRPr="00C402A6">
              <w:rPr>
                <w:color w:val="000000"/>
                <w:sz w:val="20"/>
                <w:szCs w:val="20"/>
              </w:rPr>
              <w:t>Presence of lappes segments 3</w:t>
            </w:r>
          </w:p>
        </w:tc>
        <w:tc>
          <w:tcPr>
            <w:tcW w:w="1303" w:type="pct"/>
            <w:tcBorders>
              <w:top w:val="nil"/>
              <w:left w:val="nil"/>
              <w:bottom w:val="nil"/>
              <w:right w:val="nil"/>
            </w:tcBorders>
            <w:shd w:val="clear" w:color="auto" w:fill="auto"/>
            <w:noWrap/>
            <w:hideMark/>
          </w:tcPr>
          <w:p w14:paraId="104C6E80" w14:textId="77777777" w:rsidR="00AF431E" w:rsidRPr="00C402A6" w:rsidRDefault="00AF431E" w:rsidP="00E4204D">
            <w:pPr>
              <w:rPr>
                <w:color w:val="000000"/>
                <w:sz w:val="20"/>
                <w:szCs w:val="20"/>
              </w:rPr>
            </w:pPr>
            <w:r w:rsidRPr="00C402A6">
              <w:rPr>
                <w:color w:val="000000"/>
                <w:sz w:val="20"/>
                <w:szCs w:val="20"/>
              </w:rPr>
              <w:t>0, absence; 1, present</w:t>
            </w:r>
          </w:p>
        </w:tc>
        <w:tc>
          <w:tcPr>
            <w:tcW w:w="2759" w:type="pct"/>
            <w:vMerge/>
            <w:tcBorders>
              <w:top w:val="nil"/>
              <w:left w:val="nil"/>
              <w:bottom w:val="nil"/>
              <w:right w:val="nil"/>
            </w:tcBorders>
            <w:hideMark/>
          </w:tcPr>
          <w:p w14:paraId="5F37EF6D" w14:textId="77777777" w:rsidR="00AF431E" w:rsidRPr="00C402A6" w:rsidRDefault="00AF431E" w:rsidP="00E4204D">
            <w:pPr>
              <w:rPr>
                <w:color w:val="000000"/>
                <w:sz w:val="20"/>
                <w:szCs w:val="20"/>
              </w:rPr>
            </w:pPr>
          </w:p>
        </w:tc>
      </w:tr>
      <w:tr w:rsidR="00AF431E" w:rsidRPr="00C402A6" w14:paraId="2E2B20F3" w14:textId="77777777" w:rsidTr="00E4204D">
        <w:tc>
          <w:tcPr>
            <w:tcW w:w="938" w:type="pct"/>
            <w:tcBorders>
              <w:top w:val="nil"/>
              <w:left w:val="nil"/>
              <w:bottom w:val="nil"/>
              <w:right w:val="nil"/>
            </w:tcBorders>
            <w:shd w:val="clear" w:color="auto" w:fill="auto"/>
            <w:noWrap/>
            <w:hideMark/>
          </w:tcPr>
          <w:p w14:paraId="2CBE29F1" w14:textId="77777777" w:rsidR="00AF431E" w:rsidRPr="00C402A6" w:rsidRDefault="00AF431E" w:rsidP="00E4204D">
            <w:pPr>
              <w:rPr>
                <w:color w:val="000000"/>
                <w:sz w:val="20"/>
                <w:szCs w:val="20"/>
              </w:rPr>
            </w:pPr>
            <w:r w:rsidRPr="00C402A6">
              <w:rPr>
                <w:color w:val="000000"/>
                <w:sz w:val="20"/>
                <w:szCs w:val="20"/>
              </w:rPr>
              <w:t>Presence of lappes segments 4</w:t>
            </w:r>
          </w:p>
        </w:tc>
        <w:tc>
          <w:tcPr>
            <w:tcW w:w="1303" w:type="pct"/>
            <w:tcBorders>
              <w:top w:val="nil"/>
              <w:left w:val="nil"/>
              <w:bottom w:val="nil"/>
              <w:right w:val="nil"/>
            </w:tcBorders>
            <w:shd w:val="clear" w:color="auto" w:fill="auto"/>
            <w:noWrap/>
            <w:hideMark/>
          </w:tcPr>
          <w:p w14:paraId="165BD31A" w14:textId="77777777" w:rsidR="00AF431E" w:rsidRPr="00C402A6" w:rsidRDefault="00AF431E" w:rsidP="00E4204D">
            <w:pPr>
              <w:rPr>
                <w:color w:val="000000"/>
                <w:sz w:val="20"/>
                <w:szCs w:val="20"/>
              </w:rPr>
            </w:pPr>
            <w:r w:rsidRPr="00C402A6">
              <w:rPr>
                <w:color w:val="000000"/>
                <w:sz w:val="20"/>
                <w:szCs w:val="20"/>
              </w:rPr>
              <w:t>0, absence; 1, present</w:t>
            </w:r>
          </w:p>
        </w:tc>
        <w:tc>
          <w:tcPr>
            <w:tcW w:w="2759" w:type="pct"/>
            <w:vMerge/>
            <w:tcBorders>
              <w:top w:val="nil"/>
              <w:left w:val="nil"/>
              <w:bottom w:val="nil"/>
              <w:right w:val="nil"/>
            </w:tcBorders>
            <w:hideMark/>
          </w:tcPr>
          <w:p w14:paraId="5BBE4A09" w14:textId="77777777" w:rsidR="00AF431E" w:rsidRPr="00C402A6" w:rsidRDefault="00AF431E" w:rsidP="00E4204D">
            <w:pPr>
              <w:rPr>
                <w:color w:val="000000"/>
                <w:sz w:val="20"/>
                <w:szCs w:val="20"/>
              </w:rPr>
            </w:pPr>
          </w:p>
        </w:tc>
      </w:tr>
      <w:tr w:rsidR="00AF431E" w:rsidRPr="00C402A6" w14:paraId="0FC3BADD" w14:textId="77777777" w:rsidTr="00E4204D">
        <w:tc>
          <w:tcPr>
            <w:tcW w:w="938" w:type="pct"/>
            <w:tcBorders>
              <w:top w:val="nil"/>
              <w:left w:val="nil"/>
              <w:bottom w:val="nil"/>
              <w:right w:val="nil"/>
            </w:tcBorders>
            <w:shd w:val="clear" w:color="auto" w:fill="auto"/>
            <w:noWrap/>
            <w:hideMark/>
          </w:tcPr>
          <w:p w14:paraId="479BD069" w14:textId="77777777" w:rsidR="00AF431E" w:rsidRPr="00C402A6" w:rsidRDefault="00AF431E" w:rsidP="00E4204D">
            <w:pPr>
              <w:rPr>
                <w:color w:val="000000"/>
                <w:sz w:val="20"/>
                <w:szCs w:val="20"/>
              </w:rPr>
            </w:pPr>
            <w:r w:rsidRPr="00C402A6">
              <w:rPr>
                <w:color w:val="000000"/>
                <w:sz w:val="20"/>
                <w:szCs w:val="20"/>
              </w:rPr>
              <w:t>Relatively size of branchiae</w:t>
            </w:r>
          </w:p>
        </w:tc>
        <w:tc>
          <w:tcPr>
            <w:tcW w:w="1303" w:type="pct"/>
            <w:tcBorders>
              <w:top w:val="nil"/>
              <w:left w:val="nil"/>
              <w:bottom w:val="nil"/>
              <w:right w:val="nil"/>
            </w:tcBorders>
            <w:shd w:val="clear" w:color="auto" w:fill="auto"/>
            <w:hideMark/>
          </w:tcPr>
          <w:p w14:paraId="3F972695" w14:textId="77777777" w:rsidR="00AF431E" w:rsidRPr="00C402A6" w:rsidRDefault="00AF431E" w:rsidP="00E4204D">
            <w:pPr>
              <w:rPr>
                <w:color w:val="000000"/>
                <w:sz w:val="20"/>
                <w:szCs w:val="20"/>
              </w:rPr>
            </w:pPr>
            <w:r w:rsidRPr="00C402A6">
              <w:rPr>
                <w:color w:val="000000"/>
                <w:sz w:val="20"/>
                <w:szCs w:val="20"/>
              </w:rPr>
              <w:t>0, decreasing posteriorly; 1, first pair much longer; 2, similar in size</w:t>
            </w:r>
          </w:p>
        </w:tc>
        <w:tc>
          <w:tcPr>
            <w:tcW w:w="2759" w:type="pct"/>
            <w:tcBorders>
              <w:top w:val="nil"/>
              <w:left w:val="nil"/>
              <w:bottom w:val="nil"/>
              <w:right w:val="nil"/>
            </w:tcBorders>
            <w:shd w:val="clear" w:color="auto" w:fill="auto"/>
            <w:hideMark/>
          </w:tcPr>
          <w:p w14:paraId="24B00530" w14:textId="77777777" w:rsidR="00AF431E" w:rsidRPr="00C402A6" w:rsidRDefault="00AF431E" w:rsidP="00E4204D">
            <w:pPr>
              <w:rPr>
                <w:color w:val="000000"/>
                <w:sz w:val="20"/>
                <w:szCs w:val="20"/>
              </w:rPr>
            </w:pPr>
            <w:r w:rsidRPr="00C402A6">
              <w:rPr>
                <w:color w:val="000000"/>
                <w:sz w:val="20"/>
                <w:szCs w:val="20"/>
              </w:rPr>
              <w:t xml:space="preserve">The relative length of the branchiae has been used in most species descriptions. The information was not available for </w:t>
            </w:r>
            <w:r w:rsidRPr="00C402A6">
              <w:rPr>
                <w:i/>
                <w:iCs/>
                <w:color w:val="000000"/>
                <w:sz w:val="20"/>
                <w:szCs w:val="20"/>
              </w:rPr>
              <w:t>L. bermudensis</w:t>
            </w:r>
            <w:r w:rsidRPr="00C402A6">
              <w:rPr>
                <w:color w:val="000000"/>
                <w:sz w:val="20"/>
                <w:szCs w:val="20"/>
              </w:rPr>
              <w:t>, which was excluded from the analyses.</w:t>
            </w:r>
          </w:p>
        </w:tc>
      </w:tr>
      <w:tr w:rsidR="00AF431E" w:rsidRPr="00C402A6" w14:paraId="15047F3E" w14:textId="77777777" w:rsidTr="00E4204D">
        <w:tc>
          <w:tcPr>
            <w:tcW w:w="938" w:type="pct"/>
            <w:tcBorders>
              <w:top w:val="nil"/>
              <w:left w:val="nil"/>
              <w:bottom w:val="nil"/>
              <w:right w:val="nil"/>
            </w:tcBorders>
            <w:shd w:val="clear" w:color="auto" w:fill="auto"/>
            <w:noWrap/>
            <w:hideMark/>
          </w:tcPr>
          <w:p w14:paraId="62E45B24" w14:textId="77777777" w:rsidR="00AF431E" w:rsidRPr="00C402A6" w:rsidRDefault="00AF431E" w:rsidP="00E4204D">
            <w:pPr>
              <w:rPr>
                <w:color w:val="000000"/>
                <w:sz w:val="20"/>
                <w:szCs w:val="20"/>
              </w:rPr>
            </w:pPr>
            <w:r w:rsidRPr="00C402A6">
              <w:rPr>
                <w:color w:val="000000"/>
                <w:sz w:val="20"/>
                <w:szCs w:val="20"/>
              </w:rPr>
              <w:t>First ventral shield position</w:t>
            </w:r>
          </w:p>
        </w:tc>
        <w:tc>
          <w:tcPr>
            <w:tcW w:w="1303" w:type="pct"/>
            <w:tcBorders>
              <w:top w:val="nil"/>
              <w:left w:val="nil"/>
              <w:bottom w:val="nil"/>
              <w:right w:val="nil"/>
            </w:tcBorders>
            <w:shd w:val="clear" w:color="auto" w:fill="auto"/>
            <w:noWrap/>
            <w:hideMark/>
          </w:tcPr>
          <w:p w14:paraId="6D897062" w14:textId="77777777" w:rsidR="00AF431E" w:rsidRPr="00C402A6" w:rsidRDefault="00AF431E" w:rsidP="00E4204D">
            <w:pPr>
              <w:rPr>
                <w:color w:val="000000"/>
                <w:sz w:val="20"/>
                <w:szCs w:val="20"/>
              </w:rPr>
            </w:pPr>
            <w:r w:rsidRPr="00C402A6">
              <w:rPr>
                <w:color w:val="000000"/>
                <w:sz w:val="20"/>
                <w:szCs w:val="20"/>
              </w:rPr>
              <w:t>0, segm 2; 1, segm. 3</w:t>
            </w:r>
          </w:p>
        </w:tc>
        <w:tc>
          <w:tcPr>
            <w:tcW w:w="2759" w:type="pct"/>
            <w:vMerge w:val="restart"/>
            <w:tcBorders>
              <w:top w:val="nil"/>
              <w:left w:val="nil"/>
              <w:bottom w:val="nil"/>
              <w:right w:val="nil"/>
            </w:tcBorders>
            <w:shd w:val="clear" w:color="auto" w:fill="auto"/>
            <w:hideMark/>
          </w:tcPr>
          <w:p w14:paraId="4CA9468D" w14:textId="77777777" w:rsidR="00AF431E" w:rsidRPr="00C402A6" w:rsidRDefault="00AF431E" w:rsidP="00E4204D">
            <w:pPr>
              <w:rPr>
                <w:color w:val="000000"/>
                <w:sz w:val="20"/>
                <w:szCs w:val="20"/>
              </w:rPr>
            </w:pPr>
            <w:r w:rsidRPr="00C402A6">
              <w:rPr>
                <w:color w:val="000000"/>
                <w:sz w:val="20"/>
                <w:szCs w:val="20"/>
              </w:rPr>
              <w:t xml:space="preserve">The ventral shield is a glandular specialization of the ventral epidermis of the anterior most segments present in all species of </w:t>
            </w:r>
            <w:r w:rsidRPr="00C402A6">
              <w:rPr>
                <w:i/>
                <w:iCs/>
                <w:color w:val="000000"/>
                <w:sz w:val="20"/>
                <w:szCs w:val="20"/>
              </w:rPr>
              <w:t xml:space="preserve">Loimia. </w:t>
            </w:r>
            <w:r w:rsidRPr="00C402A6">
              <w:rPr>
                <w:color w:val="000000"/>
                <w:sz w:val="20"/>
                <w:szCs w:val="20"/>
              </w:rPr>
              <w:t>Both, its starting segment as well as its total exteension are widely used taxonomical characters. We coded the starting segment and the final one a two independent character to capture this variability in our analyses.</w:t>
            </w:r>
          </w:p>
        </w:tc>
      </w:tr>
      <w:tr w:rsidR="00AF431E" w:rsidRPr="00C402A6" w14:paraId="632C89FB" w14:textId="77777777" w:rsidTr="00E4204D">
        <w:tc>
          <w:tcPr>
            <w:tcW w:w="938" w:type="pct"/>
            <w:tcBorders>
              <w:top w:val="nil"/>
              <w:left w:val="nil"/>
              <w:bottom w:val="nil"/>
              <w:right w:val="nil"/>
            </w:tcBorders>
            <w:shd w:val="clear" w:color="auto" w:fill="auto"/>
            <w:noWrap/>
            <w:hideMark/>
          </w:tcPr>
          <w:p w14:paraId="68923634" w14:textId="77777777" w:rsidR="00AF431E" w:rsidRPr="00C402A6" w:rsidRDefault="00AF431E" w:rsidP="00E4204D">
            <w:pPr>
              <w:rPr>
                <w:color w:val="000000"/>
                <w:sz w:val="20"/>
                <w:szCs w:val="20"/>
              </w:rPr>
            </w:pPr>
            <w:r w:rsidRPr="00C402A6">
              <w:rPr>
                <w:color w:val="000000"/>
                <w:sz w:val="20"/>
                <w:szCs w:val="20"/>
              </w:rPr>
              <w:t>Extension of th ventral shield</w:t>
            </w:r>
          </w:p>
        </w:tc>
        <w:tc>
          <w:tcPr>
            <w:tcW w:w="1303" w:type="pct"/>
            <w:tcBorders>
              <w:top w:val="nil"/>
              <w:left w:val="nil"/>
              <w:bottom w:val="nil"/>
              <w:right w:val="nil"/>
            </w:tcBorders>
            <w:shd w:val="clear" w:color="auto" w:fill="auto"/>
            <w:hideMark/>
          </w:tcPr>
          <w:p w14:paraId="4C364A12" w14:textId="77777777" w:rsidR="00AF431E" w:rsidRPr="00C402A6" w:rsidRDefault="00AF431E" w:rsidP="00E4204D">
            <w:pPr>
              <w:rPr>
                <w:color w:val="000000"/>
                <w:sz w:val="20"/>
                <w:szCs w:val="20"/>
              </w:rPr>
            </w:pPr>
            <w:r w:rsidRPr="00C402A6">
              <w:rPr>
                <w:color w:val="000000"/>
                <w:sz w:val="20"/>
                <w:szCs w:val="20"/>
              </w:rPr>
              <w:t>0, up to segment 10; 1, segm. 11; 2, segm. 12; 3, segm. 13; 4, segm. 14; 5, segm. 15; 6, segm. 6; 7, segm. 7</w:t>
            </w:r>
          </w:p>
        </w:tc>
        <w:tc>
          <w:tcPr>
            <w:tcW w:w="2759" w:type="pct"/>
            <w:vMerge/>
            <w:tcBorders>
              <w:top w:val="nil"/>
              <w:left w:val="nil"/>
              <w:bottom w:val="nil"/>
              <w:right w:val="nil"/>
            </w:tcBorders>
            <w:hideMark/>
          </w:tcPr>
          <w:p w14:paraId="59C484EE" w14:textId="77777777" w:rsidR="00AF431E" w:rsidRPr="00C402A6" w:rsidRDefault="00AF431E" w:rsidP="00E4204D">
            <w:pPr>
              <w:rPr>
                <w:color w:val="000000"/>
                <w:sz w:val="20"/>
                <w:szCs w:val="20"/>
              </w:rPr>
            </w:pPr>
          </w:p>
        </w:tc>
      </w:tr>
      <w:tr w:rsidR="00AF431E" w:rsidRPr="00C402A6" w14:paraId="00700BA6" w14:textId="77777777" w:rsidTr="00E4204D">
        <w:tc>
          <w:tcPr>
            <w:tcW w:w="938" w:type="pct"/>
            <w:tcBorders>
              <w:top w:val="nil"/>
              <w:left w:val="nil"/>
              <w:bottom w:val="nil"/>
              <w:right w:val="nil"/>
            </w:tcBorders>
            <w:shd w:val="clear" w:color="auto" w:fill="auto"/>
            <w:noWrap/>
            <w:hideMark/>
          </w:tcPr>
          <w:p w14:paraId="3EB65520" w14:textId="77777777" w:rsidR="00AF431E" w:rsidRPr="00C402A6" w:rsidRDefault="00AF431E" w:rsidP="00E4204D">
            <w:pPr>
              <w:rPr>
                <w:color w:val="000000"/>
                <w:sz w:val="20"/>
                <w:szCs w:val="20"/>
              </w:rPr>
            </w:pPr>
            <w:r w:rsidRPr="00C402A6">
              <w:rPr>
                <w:color w:val="000000"/>
                <w:sz w:val="20"/>
                <w:szCs w:val="20"/>
              </w:rPr>
              <w:t>Types of notochaetae</w:t>
            </w:r>
          </w:p>
        </w:tc>
        <w:tc>
          <w:tcPr>
            <w:tcW w:w="1303" w:type="pct"/>
            <w:tcBorders>
              <w:top w:val="nil"/>
              <w:left w:val="nil"/>
              <w:bottom w:val="nil"/>
              <w:right w:val="nil"/>
            </w:tcBorders>
            <w:shd w:val="clear" w:color="auto" w:fill="auto"/>
            <w:noWrap/>
            <w:hideMark/>
          </w:tcPr>
          <w:p w14:paraId="73EC7886" w14:textId="77777777" w:rsidR="00AF431E" w:rsidRPr="00C402A6" w:rsidRDefault="00AF431E" w:rsidP="00E4204D">
            <w:pPr>
              <w:rPr>
                <w:color w:val="000000"/>
                <w:sz w:val="20"/>
                <w:szCs w:val="20"/>
              </w:rPr>
            </w:pPr>
            <w:r w:rsidRPr="00C402A6">
              <w:rPr>
                <w:color w:val="000000"/>
                <w:sz w:val="20"/>
                <w:szCs w:val="20"/>
              </w:rPr>
              <w:t>0, one type; 1, two types.</w:t>
            </w:r>
          </w:p>
        </w:tc>
        <w:tc>
          <w:tcPr>
            <w:tcW w:w="2759" w:type="pct"/>
            <w:tcBorders>
              <w:top w:val="nil"/>
              <w:left w:val="nil"/>
              <w:bottom w:val="nil"/>
              <w:right w:val="nil"/>
            </w:tcBorders>
            <w:shd w:val="clear" w:color="auto" w:fill="auto"/>
            <w:hideMark/>
          </w:tcPr>
          <w:p w14:paraId="51D8ACF5" w14:textId="77777777" w:rsidR="00AF431E" w:rsidRPr="00C402A6" w:rsidRDefault="00AF431E" w:rsidP="00E4204D">
            <w:pPr>
              <w:rPr>
                <w:color w:val="000000"/>
                <w:sz w:val="20"/>
                <w:szCs w:val="20"/>
              </w:rPr>
            </w:pPr>
            <w:r w:rsidRPr="00C402A6">
              <w:rPr>
                <w:color w:val="000000"/>
                <w:sz w:val="20"/>
                <w:szCs w:val="20"/>
              </w:rPr>
              <w:t xml:space="preserve">One or two types of notochaetae are mentioned in the description of several species of </w:t>
            </w:r>
            <w:r>
              <w:rPr>
                <w:i/>
                <w:iCs/>
                <w:color w:val="000000"/>
                <w:sz w:val="20"/>
                <w:szCs w:val="20"/>
              </w:rPr>
              <w:t>Loimia</w:t>
            </w:r>
            <w:r w:rsidRPr="00C402A6">
              <w:rPr>
                <w:color w:val="000000"/>
                <w:sz w:val="20"/>
                <w:szCs w:val="20"/>
              </w:rPr>
              <w:t>. The presence of a single type of chaetae, as described in some of the oldest descriptions, warrants further investigations.</w:t>
            </w:r>
          </w:p>
        </w:tc>
      </w:tr>
      <w:tr w:rsidR="00AF431E" w:rsidRPr="00C402A6" w14:paraId="6FA40959" w14:textId="77777777" w:rsidTr="00E4204D">
        <w:tc>
          <w:tcPr>
            <w:tcW w:w="938" w:type="pct"/>
            <w:tcBorders>
              <w:top w:val="nil"/>
              <w:left w:val="nil"/>
              <w:right w:val="nil"/>
            </w:tcBorders>
            <w:shd w:val="clear" w:color="auto" w:fill="auto"/>
            <w:noWrap/>
            <w:hideMark/>
          </w:tcPr>
          <w:p w14:paraId="657B8E35" w14:textId="77777777" w:rsidR="00AF431E" w:rsidRPr="00C402A6" w:rsidRDefault="00AF431E" w:rsidP="00E4204D">
            <w:pPr>
              <w:rPr>
                <w:color w:val="000000"/>
                <w:sz w:val="20"/>
                <w:szCs w:val="20"/>
              </w:rPr>
            </w:pPr>
            <w:r w:rsidRPr="00C402A6">
              <w:rPr>
                <w:color w:val="000000"/>
                <w:sz w:val="20"/>
                <w:szCs w:val="20"/>
              </w:rPr>
              <w:t>Teeth in abdominal segmens</w:t>
            </w:r>
          </w:p>
        </w:tc>
        <w:tc>
          <w:tcPr>
            <w:tcW w:w="1303" w:type="pct"/>
            <w:tcBorders>
              <w:top w:val="nil"/>
              <w:left w:val="nil"/>
              <w:right w:val="nil"/>
            </w:tcBorders>
            <w:shd w:val="clear" w:color="auto" w:fill="auto"/>
            <w:noWrap/>
            <w:hideMark/>
          </w:tcPr>
          <w:p w14:paraId="500B7C38" w14:textId="77777777" w:rsidR="00AF431E" w:rsidRPr="00C402A6" w:rsidRDefault="00AF431E" w:rsidP="00E4204D">
            <w:pPr>
              <w:rPr>
                <w:color w:val="000000"/>
                <w:sz w:val="20"/>
                <w:szCs w:val="20"/>
              </w:rPr>
            </w:pPr>
            <w:r w:rsidRPr="00C402A6">
              <w:rPr>
                <w:color w:val="000000"/>
                <w:sz w:val="20"/>
                <w:szCs w:val="20"/>
              </w:rPr>
              <w:t>continues</w:t>
            </w:r>
          </w:p>
        </w:tc>
        <w:tc>
          <w:tcPr>
            <w:tcW w:w="2759" w:type="pct"/>
            <w:vMerge w:val="restart"/>
            <w:tcBorders>
              <w:top w:val="nil"/>
              <w:left w:val="nil"/>
              <w:right w:val="nil"/>
            </w:tcBorders>
            <w:shd w:val="clear" w:color="auto" w:fill="auto"/>
            <w:hideMark/>
          </w:tcPr>
          <w:p w14:paraId="63A94409" w14:textId="77777777" w:rsidR="00AF431E" w:rsidRPr="00C402A6" w:rsidRDefault="00AF431E" w:rsidP="00E4204D">
            <w:pPr>
              <w:rPr>
                <w:color w:val="000000"/>
                <w:sz w:val="20"/>
                <w:szCs w:val="20"/>
              </w:rPr>
            </w:pPr>
            <w:r w:rsidRPr="00C402A6">
              <w:rPr>
                <w:color w:val="000000"/>
                <w:sz w:val="20"/>
                <w:szCs w:val="20"/>
              </w:rPr>
              <w:t xml:space="preserve">The number of teeth in abdominal and thoracic segments is a widely used taxonomic character in </w:t>
            </w:r>
            <w:r w:rsidRPr="00C402A6">
              <w:rPr>
                <w:i/>
                <w:iCs/>
                <w:color w:val="000000"/>
                <w:sz w:val="20"/>
                <w:szCs w:val="20"/>
              </w:rPr>
              <w:t>Loimia</w:t>
            </w:r>
            <w:r>
              <w:rPr>
                <w:color w:val="000000"/>
                <w:sz w:val="20"/>
                <w:szCs w:val="20"/>
              </w:rPr>
              <w:t xml:space="preserve"> (and among the whole Terebellidae)</w:t>
            </w:r>
            <w:r w:rsidRPr="00C402A6">
              <w:rPr>
                <w:color w:val="000000"/>
                <w:sz w:val="20"/>
                <w:szCs w:val="20"/>
              </w:rPr>
              <w:t>. We coded it after the maximum number of teeth reported in each species. In those descriptions not distinguishing between abdominal and thoracic teeth, the number was assumed to be the same throughout the body.</w:t>
            </w:r>
          </w:p>
        </w:tc>
      </w:tr>
      <w:tr w:rsidR="00AF431E" w:rsidRPr="00C402A6" w14:paraId="0C073916" w14:textId="77777777" w:rsidTr="00E4204D">
        <w:tc>
          <w:tcPr>
            <w:tcW w:w="938" w:type="pct"/>
            <w:tcBorders>
              <w:top w:val="nil"/>
              <w:left w:val="nil"/>
              <w:bottom w:val="single" w:sz="4" w:space="0" w:color="auto"/>
              <w:right w:val="nil"/>
            </w:tcBorders>
            <w:shd w:val="clear" w:color="auto" w:fill="auto"/>
            <w:noWrap/>
            <w:hideMark/>
          </w:tcPr>
          <w:p w14:paraId="030793BF" w14:textId="77777777" w:rsidR="00AF431E" w:rsidRPr="00C402A6" w:rsidRDefault="00AF431E" w:rsidP="00E4204D">
            <w:pPr>
              <w:rPr>
                <w:color w:val="000000"/>
                <w:sz w:val="20"/>
                <w:szCs w:val="20"/>
              </w:rPr>
            </w:pPr>
            <w:r w:rsidRPr="00C402A6">
              <w:rPr>
                <w:color w:val="000000"/>
                <w:sz w:val="20"/>
                <w:szCs w:val="20"/>
              </w:rPr>
              <w:t>Teeth in thoracic segments</w:t>
            </w:r>
          </w:p>
        </w:tc>
        <w:tc>
          <w:tcPr>
            <w:tcW w:w="1303" w:type="pct"/>
            <w:tcBorders>
              <w:top w:val="nil"/>
              <w:left w:val="nil"/>
              <w:bottom w:val="single" w:sz="4" w:space="0" w:color="auto"/>
              <w:right w:val="nil"/>
            </w:tcBorders>
            <w:shd w:val="clear" w:color="auto" w:fill="auto"/>
            <w:noWrap/>
            <w:hideMark/>
          </w:tcPr>
          <w:p w14:paraId="54BBB5F7" w14:textId="77777777" w:rsidR="00AF431E" w:rsidRPr="00C402A6" w:rsidRDefault="00AF431E" w:rsidP="00E4204D">
            <w:pPr>
              <w:rPr>
                <w:color w:val="000000"/>
                <w:sz w:val="20"/>
                <w:szCs w:val="20"/>
              </w:rPr>
            </w:pPr>
            <w:r w:rsidRPr="00C402A6">
              <w:rPr>
                <w:color w:val="000000"/>
                <w:sz w:val="20"/>
                <w:szCs w:val="20"/>
              </w:rPr>
              <w:t>continues</w:t>
            </w:r>
          </w:p>
        </w:tc>
        <w:tc>
          <w:tcPr>
            <w:tcW w:w="2759" w:type="pct"/>
            <w:vMerge/>
            <w:tcBorders>
              <w:top w:val="nil"/>
              <w:left w:val="nil"/>
              <w:bottom w:val="single" w:sz="4" w:space="0" w:color="auto"/>
              <w:right w:val="nil"/>
            </w:tcBorders>
            <w:hideMark/>
          </w:tcPr>
          <w:p w14:paraId="4040ABAF" w14:textId="77777777" w:rsidR="00AF431E" w:rsidRPr="00C402A6" w:rsidRDefault="00AF431E" w:rsidP="00E4204D">
            <w:pPr>
              <w:rPr>
                <w:color w:val="000000"/>
                <w:sz w:val="20"/>
                <w:szCs w:val="20"/>
              </w:rPr>
            </w:pPr>
          </w:p>
        </w:tc>
      </w:tr>
    </w:tbl>
    <w:p w14:paraId="32D76409" w14:textId="36473AD8" w:rsidR="00AF431E" w:rsidRDefault="00AF431E" w:rsidP="00E4204D">
      <w:pPr>
        <w:jc w:val="both"/>
        <w:rPr>
          <w:lang w:val="en-GB"/>
        </w:rPr>
      </w:pPr>
    </w:p>
    <w:p w14:paraId="65A93A92" w14:textId="77777777" w:rsidR="00AF431E" w:rsidRPr="00672130" w:rsidRDefault="00AF431E" w:rsidP="00E4204D">
      <w:pPr>
        <w:jc w:val="both"/>
        <w:rPr>
          <w:lang w:val="en-GB"/>
        </w:rPr>
      </w:pPr>
    </w:p>
    <w:p w14:paraId="0C257701" w14:textId="558E12BC" w:rsidR="00AF431E" w:rsidRDefault="00AF431E" w:rsidP="00E4204D">
      <w:pPr>
        <w:jc w:val="both"/>
        <w:rPr>
          <w:lang w:val="en-GB"/>
        </w:rPr>
      </w:pPr>
      <w:r w:rsidRPr="00672130">
        <w:rPr>
          <w:lang w:val="en-GB"/>
        </w:rPr>
        <w:t>Supplementa</w:t>
      </w:r>
      <w:r w:rsidR="00E4204D">
        <w:rPr>
          <w:lang w:val="en-GB"/>
        </w:rPr>
        <w:t>l</w:t>
      </w:r>
      <w:r w:rsidRPr="00672130">
        <w:rPr>
          <w:lang w:val="en-GB"/>
        </w:rPr>
        <w:t xml:space="preserve"> Table S2. Character codification for the species of </w:t>
      </w:r>
      <w:proofErr w:type="spellStart"/>
      <w:r w:rsidRPr="00672130">
        <w:rPr>
          <w:i/>
          <w:iCs/>
          <w:lang w:val="en-GB"/>
        </w:rPr>
        <w:t>Loimia</w:t>
      </w:r>
      <w:proofErr w:type="spellEnd"/>
      <w:r w:rsidRPr="00672130">
        <w:rPr>
          <w:lang w:val="en-GB"/>
        </w:rPr>
        <w:t xml:space="preserve"> used in hypervolume calculations. </w:t>
      </w:r>
      <w:r w:rsidR="00D42629">
        <w:rPr>
          <w:lang w:val="en-GB"/>
        </w:rPr>
        <w:t>Accessible at:</w:t>
      </w:r>
    </w:p>
    <w:p w14:paraId="5550154B" w14:textId="757AEAC3" w:rsidR="00D42629" w:rsidRDefault="005F339B" w:rsidP="00E4204D">
      <w:pPr>
        <w:rPr>
          <w:lang w:val="en-GB"/>
        </w:rPr>
      </w:pPr>
      <w:hyperlink r:id="rId7" w:history="1">
        <w:r w:rsidR="009E555E" w:rsidRPr="001D648D">
          <w:rPr>
            <w:rStyle w:val="Hyperlink"/>
            <w:noProof/>
            <w:lang w:val="en-US"/>
          </w:rPr>
          <w:t>https://doi.org/10.17605/OSF.IO/ANRXZ</w:t>
        </w:r>
      </w:hyperlink>
    </w:p>
    <w:p w14:paraId="46CF378D" w14:textId="77777777" w:rsidR="009E555E" w:rsidRDefault="009E555E" w:rsidP="00E46023">
      <w:pPr>
        <w:jc w:val="both"/>
        <w:rPr>
          <w:lang w:val="en-GB"/>
        </w:rPr>
      </w:pPr>
    </w:p>
    <w:p w14:paraId="4FB1BED7" w14:textId="6062BBE5" w:rsidR="00E46023" w:rsidRDefault="00E46023" w:rsidP="00E46023">
      <w:pPr>
        <w:jc w:val="both"/>
        <w:rPr>
          <w:lang w:val="en-GB"/>
        </w:rPr>
      </w:pPr>
      <w:r w:rsidRPr="00672130">
        <w:rPr>
          <w:lang w:val="en-GB"/>
        </w:rPr>
        <w:t>Supplementa</w:t>
      </w:r>
      <w:r>
        <w:rPr>
          <w:lang w:val="en-GB"/>
        </w:rPr>
        <w:t>l</w:t>
      </w:r>
      <w:r w:rsidRPr="00672130">
        <w:rPr>
          <w:lang w:val="en-GB"/>
        </w:rPr>
        <w:t xml:space="preserve"> Table S</w:t>
      </w:r>
      <w:r>
        <w:rPr>
          <w:lang w:val="en-GB"/>
        </w:rPr>
        <w:t>3</w:t>
      </w:r>
      <w:r w:rsidRPr="00672130">
        <w:rPr>
          <w:lang w:val="en-GB"/>
        </w:rPr>
        <w:t xml:space="preserve">. </w:t>
      </w:r>
      <w:r>
        <w:rPr>
          <w:lang w:val="en-GB"/>
        </w:rPr>
        <w:t>Summary of the morphological characters of all</w:t>
      </w:r>
      <w:r w:rsidRPr="00672130">
        <w:rPr>
          <w:lang w:val="en-GB"/>
        </w:rPr>
        <w:t xml:space="preserve"> </w:t>
      </w:r>
      <w:r>
        <w:rPr>
          <w:lang w:val="en-GB"/>
        </w:rPr>
        <w:t xml:space="preserve">currently described species of </w:t>
      </w:r>
      <w:proofErr w:type="spellStart"/>
      <w:r w:rsidRPr="0057062E">
        <w:rPr>
          <w:i/>
          <w:iCs/>
          <w:lang w:val="en-GB"/>
        </w:rPr>
        <w:t>Loimia</w:t>
      </w:r>
      <w:proofErr w:type="spellEnd"/>
      <w:r w:rsidRPr="00672130">
        <w:rPr>
          <w:lang w:val="en-GB"/>
        </w:rPr>
        <w:t>.</w:t>
      </w:r>
      <w:r>
        <w:rPr>
          <w:lang w:val="en-GB"/>
        </w:rPr>
        <w:t xml:space="preserve"> </w:t>
      </w:r>
    </w:p>
    <w:p w14:paraId="70F326DA" w14:textId="1FF8F802" w:rsidR="00E46023" w:rsidRDefault="005F339B" w:rsidP="00E46023">
      <w:pPr>
        <w:jc w:val="both"/>
        <w:rPr>
          <w:lang w:val="en-GB"/>
        </w:rPr>
      </w:pPr>
      <w:hyperlink r:id="rId8" w:history="1">
        <w:r w:rsidR="00493C78" w:rsidRPr="00F44602">
          <w:rPr>
            <w:rStyle w:val="Hyperlink"/>
          </w:rPr>
          <w:t>https://saco.csic.es/index.php/s/F4YodKprCZSAwLt</w:t>
        </w:r>
      </w:hyperlink>
      <w:hyperlink r:id="rId9" w:history="1"/>
    </w:p>
    <w:p w14:paraId="1860C3A4" w14:textId="77777777" w:rsidR="00395D9B" w:rsidRDefault="00395D9B" w:rsidP="00E4204D">
      <w:pPr>
        <w:rPr>
          <w:lang w:val="en-GB"/>
        </w:rPr>
      </w:pPr>
    </w:p>
    <w:p w14:paraId="14530AA7" w14:textId="71676791" w:rsidR="00AF431E" w:rsidRDefault="00AF431E" w:rsidP="00E4204D">
      <w:pPr>
        <w:jc w:val="both"/>
        <w:rPr>
          <w:lang w:val="en-GB"/>
        </w:rPr>
      </w:pPr>
      <w:r w:rsidRPr="00672130">
        <w:rPr>
          <w:lang w:val="en-GB"/>
        </w:rPr>
        <w:t>Supplementa</w:t>
      </w:r>
      <w:r w:rsidR="00E4204D">
        <w:rPr>
          <w:lang w:val="en-GB"/>
        </w:rPr>
        <w:t>l</w:t>
      </w:r>
      <w:r w:rsidRPr="00672130">
        <w:rPr>
          <w:lang w:val="en-GB"/>
        </w:rPr>
        <w:t xml:space="preserve"> Figure S1. N-dimensional </w:t>
      </w:r>
      <w:proofErr w:type="spellStart"/>
      <w:r w:rsidRPr="00672130">
        <w:rPr>
          <w:lang w:val="en-GB"/>
        </w:rPr>
        <w:t>morphospace</w:t>
      </w:r>
      <w:proofErr w:type="spellEnd"/>
      <w:r w:rsidRPr="00672130">
        <w:rPr>
          <w:lang w:val="en-GB"/>
        </w:rPr>
        <w:t xml:space="preserve"> for the 28 species of </w:t>
      </w:r>
      <w:proofErr w:type="spellStart"/>
      <w:r w:rsidRPr="00672130">
        <w:rPr>
          <w:i/>
          <w:lang w:val="en-GB"/>
        </w:rPr>
        <w:t>Loimia</w:t>
      </w:r>
      <w:proofErr w:type="spellEnd"/>
      <w:r w:rsidRPr="00672130">
        <w:rPr>
          <w:i/>
          <w:lang w:val="en-GB"/>
        </w:rPr>
        <w:t xml:space="preserve">, </w:t>
      </w:r>
      <w:r w:rsidRPr="00672130">
        <w:rPr>
          <w:lang w:val="en-GB"/>
        </w:rPr>
        <w:t xml:space="preserve">calculated omitting body size; red dots = larger and smaller individuals of </w:t>
      </w:r>
      <w:proofErr w:type="spellStart"/>
      <w:r w:rsidRPr="00672130">
        <w:rPr>
          <w:i/>
          <w:lang w:val="en-GB"/>
        </w:rPr>
        <w:t>Loimia</w:t>
      </w:r>
      <w:proofErr w:type="spellEnd"/>
      <w:r w:rsidRPr="00672130">
        <w:rPr>
          <w:i/>
          <w:lang w:val="en-GB"/>
        </w:rPr>
        <w:t xml:space="preserve"> </w:t>
      </w:r>
      <w:proofErr w:type="spellStart"/>
      <w:r w:rsidRPr="00672130">
        <w:rPr>
          <w:i/>
          <w:lang w:val="en-GB"/>
        </w:rPr>
        <w:t>davidi</w:t>
      </w:r>
      <w:proofErr w:type="spellEnd"/>
      <w:r w:rsidRPr="00672130">
        <w:rPr>
          <w:iCs/>
          <w:lang w:val="en-GB"/>
        </w:rPr>
        <w:t xml:space="preserve"> sp. </w:t>
      </w:r>
      <w:proofErr w:type="spellStart"/>
      <w:r w:rsidRPr="00672130">
        <w:rPr>
          <w:iCs/>
          <w:lang w:val="en-GB"/>
        </w:rPr>
        <w:t>nov</w:t>
      </w:r>
      <w:r w:rsidRPr="00672130">
        <w:rPr>
          <w:i/>
          <w:lang w:val="en-GB"/>
        </w:rPr>
        <w:t>.</w:t>
      </w:r>
      <w:proofErr w:type="spellEnd"/>
      <w:r w:rsidRPr="00672130">
        <w:rPr>
          <w:iCs/>
          <w:lang w:val="en-GB"/>
        </w:rPr>
        <w:t>;</w:t>
      </w:r>
      <w:r w:rsidRPr="00672130">
        <w:rPr>
          <w:i/>
          <w:lang w:val="en-GB"/>
        </w:rPr>
        <w:t xml:space="preserve"> </w:t>
      </w:r>
      <w:r w:rsidRPr="00672130">
        <w:rPr>
          <w:iCs/>
          <w:lang w:val="en-GB"/>
        </w:rPr>
        <w:t>l</w:t>
      </w:r>
      <w:r w:rsidRPr="00672130">
        <w:rPr>
          <w:lang w:val="en-GB"/>
        </w:rPr>
        <w:t xml:space="preserve">arge points with white borders = centroids of each hypervolume; hypervolume shape and boundaries defined by 5000 random points; table = summary of hypervolume richness, dispersion, evenness, beta replacement, and difference. </w:t>
      </w:r>
    </w:p>
    <w:p w14:paraId="350D7272" w14:textId="77777777" w:rsidR="00AF431E" w:rsidRPr="00672130" w:rsidRDefault="00AF431E" w:rsidP="00E4204D">
      <w:pPr>
        <w:jc w:val="both"/>
        <w:rPr>
          <w:lang w:val="en-GB"/>
        </w:rPr>
      </w:pPr>
    </w:p>
    <w:p w14:paraId="38AC6D9A" w14:textId="4E7965B9" w:rsidR="00281C3C" w:rsidRPr="00AF431E" w:rsidRDefault="00D42629" w:rsidP="00E4204D">
      <w:pPr>
        <w:jc w:val="both"/>
        <w:rPr>
          <w:lang w:val="en-GB"/>
        </w:rPr>
      </w:pPr>
      <w:r>
        <w:rPr>
          <w:noProof/>
          <w:lang w:val="en-GB"/>
        </w:rPr>
        <w:drawing>
          <wp:inline distT="0" distB="0" distL="0" distR="0" wp14:anchorId="40CEA799" wp14:editId="3BF04A88">
            <wp:extent cx="5214938" cy="587124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23192" cy="5880532"/>
                    </a:xfrm>
                    <a:prstGeom prst="rect">
                      <a:avLst/>
                    </a:prstGeom>
                  </pic:spPr>
                </pic:pic>
              </a:graphicData>
            </a:graphic>
          </wp:inline>
        </w:drawing>
      </w:r>
    </w:p>
    <w:sectPr w:rsidR="00281C3C" w:rsidRPr="00AF431E" w:rsidSect="00E4204D">
      <w:footerReference w:type="even" r:id="rId11"/>
      <w:footerReference w:type="default" r:id="rId12"/>
      <w:pgSz w:w="11900" w:h="16840"/>
      <w:pgMar w:top="1418" w:right="1701" w:bottom="1418"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6CDE7" w14:textId="77777777" w:rsidR="005053E9" w:rsidRDefault="005053E9">
      <w:r>
        <w:separator/>
      </w:r>
    </w:p>
  </w:endnote>
  <w:endnote w:type="continuationSeparator" w:id="0">
    <w:p w14:paraId="281D385D" w14:textId="77777777" w:rsidR="005053E9" w:rsidRDefault="0050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1332763"/>
      <w:docPartObj>
        <w:docPartGallery w:val="Page Numbers (Bottom of Page)"/>
        <w:docPartUnique/>
      </w:docPartObj>
    </w:sdtPr>
    <w:sdtEndPr>
      <w:rPr>
        <w:rStyle w:val="PageNumber"/>
      </w:rPr>
    </w:sdtEndPr>
    <w:sdtContent>
      <w:p w14:paraId="4B73638D" w14:textId="77777777" w:rsidR="009C7AC5" w:rsidRDefault="00E4204D" w:rsidP="00B228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BF003A" w14:textId="77777777" w:rsidR="009C7AC5" w:rsidRDefault="005F3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570471"/>
      <w:docPartObj>
        <w:docPartGallery w:val="Page Numbers (Bottom of Page)"/>
        <w:docPartUnique/>
      </w:docPartObj>
    </w:sdtPr>
    <w:sdtEndPr>
      <w:rPr>
        <w:rStyle w:val="PageNumber"/>
      </w:rPr>
    </w:sdtEndPr>
    <w:sdtContent>
      <w:p w14:paraId="7C6298C5" w14:textId="77777777" w:rsidR="009C7AC5" w:rsidRDefault="00E4204D" w:rsidP="00B228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8BAC3C" w14:textId="77777777" w:rsidR="009C7AC5" w:rsidRDefault="005F339B">
    <w:pPr>
      <w:pStyle w:val="Footer"/>
    </w:pPr>
  </w:p>
  <w:p w14:paraId="225B5E94" w14:textId="77777777" w:rsidR="009C7AC5" w:rsidRDefault="005F3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221ED" w14:textId="77777777" w:rsidR="005053E9" w:rsidRDefault="005053E9">
      <w:r>
        <w:separator/>
      </w:r>
    </w:p>
  </w:footnote>
  <w:footnote w:type="continuationSeparator" w:id="0">
    <w:p w14:paraId="474D1D93" w14:textId="77777777" w:rsidR="005053E9" w:rsidRDefault="005053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31E"/>
    <w:rsid w:val="00045550"/>
    <w:rsid w:val="00052116"/>
    <w:rsid w:val="0007083D"/>
    <w:rsid w:val="00072F4D"/>
    <w:rsid w:val="00087A5C"/>
    <w:rsid w:val="000C1296"/>
    <w:rsid w:val="000F626A"/>
    <w:rsid w:val="00114976"/>
    <w:rsid w:val="001317A1"/>
    <w:rsid w:val="001519A2"/>
    <w:rsid w:val="00180FB1"/>
    <w:rsid w:val="00185A7F"/>
    <w:rsid w:val="0019148E"/>
    <w:rsid w:val="001D7962"/>
    <w:rsid w:val="00204BCB"/>
    <w:rsid w:val="00244D34"/>
    <w:rsid w:val="00246B91"/>
    <w:rsid w:val="00255F8F"/>
    <w:rsid w:val="00270B26"/>
    <w:rsid w:val="002774D1"/>
    <w:rsid w:val="00281C3C"/>
    <w:rsid w:val="002909B9"/>
    <w:rsid w:val="002A60FA"/>
    <w:rsid w:val="00307211"/>
    <w:rsid w:val="0035068B"/>
    <w:rsid w:val="003812E3"/>
    <w:rsid w:val="003878C3"/>
    <w:rsid w:val="00395D9B"/>
    <w:rsid w:val="003B16A8"/>
    <w:rsid w:val="003B4919"/>
    <w:rsid w:val="003C2106"/>
    <w:rsid w:val="003C2BC3"/>
    <w:rsid w:val="003D0D00"/>
    <w:rsid w:val="003D2B5D"/>
    <w:rsid w:val="00401623"/>
    <w:rsid w:val="004063AE"/>
    <w:rsid w:val="00413032"/>
    <w:rsid w:val="00427EEC"/>
    <w:rsid w:val="0045507D"/>
    <w:rsid w:val="00493C78"/>
    <w:rsid w:val="004F05A9"/>
    <w:rsid w:val="00504D4E"/>
    <w:rsid w:val="005053E9"/>
    <w:rsid w:val="0057062E"/>
    <w:rsid w:val="00573784"/>
    <w:rsid w:val="005B6A4D"/>
    <w:rsid w:val="005F339B"/>
    <w:rsid w:val="006032A3"/>
    <w:rsid w:val="00603E3B"/>
    <w:rsid w:val="00612E67"/>
    <w:rsid w:val="0067377F"/>
    <w:rsid w:val="00674D2E"/>
    <w:rsid w:val="00691A54"/>
    <w:rsid w:val="006A28CA"/>
    <w:rsid w:val="006B7D88"/>
    <w:rsid w:val="006C45E2"/>
    <w:rsid w:val="006C5B13"/>
    <w:rsid w:val="006D3699"/>
    <w:rsid w:val="006F1F37"/>
    <w:rsid w:val="007021E2"/>
    <w:rsid w:val="00734FA6"/>
    <w:rsid w:val="00772CFB"/>
    <w:rsid w:val="007B5C8D"/>
    <w:rsid w:val="007D0F30"/>
    <w:rsid w:val="007E28AE"/>
    <w:rsid w:val="007E467C"/>
    <w:rsid w:val="007E559A"/>
    <w:rsid w:val="008510FC"/>
    <w:rsid w:val="00851614"/>
    <w:rsid w:val="00854D71"/>
    <w:rsid w:val="008647FF"/>
    <w:rsid w:val="00865A93"/>
    <w:rsid w:val="008734EC"/>
    <w:rsid w:val="008A1695"/>
    <w:rsid w:val="008D0E57"/>
    <w:rsid w:val="008D0FC5"/>
    <w:rsid w:val="008F116F"/>
    <w:rsid w:val="0090797B"/>
    <w:rsid w:val="0091499D"/>
    <w:rsid w:val="00931BD2"/>
    <w:rsid w:val="0093274B"/>
    <w:rsid w:val="009548AE"/>
    <w:rsid w:val="00992D6F"/>
    <w:rsid w:val="00996145"/>
    <w:rsid w:val="009A0DE2"/>
    <w:rsid w:val="009E555E"/>
    <w:rsid w:val="00A025ED"/>
    <w:rsid w:val="00A27EAC"/>
    <w:rsid w:val="00A34E67"/>
    <w:rsid w:val="00A3784A"/>
    <w:rsid w:val="00A37E53"/>
    <w:rsid w:val="00A53CA0"/>
    <w:rsid w:val="00A545A2"/>
    <w:rsid w:val="00A639EA"/>
    <w:rsid w:val="00AB393F"/>
    <w:rsid w:val="00AC65C8"/>
    <w:rsid w:val="00AF431E"/>
    <w:rsid w:val="00B02E57"/>
    <w:rsid w:val="00B05765"/>
    <w:rsid w:val="00B110AE"/>
    <w:rsid w:val="00B121FF"/>
    <w:rsid w:val="00B278D8"/>
    <w:rsid w:val="00B654E7"/>
    <w:rsid w:val="00B70369"/>
    <w:rsid w:val="00B77C5A"/>
    <w:rsid w:val="00B97871"/>
    <w:rsid w:val="00BA524A"/>
    <w:rsid w:val="00BF5285"/>
    <w:rsid w:val="00C33437"/>
    <w:rsid w:val="00C440EC"/>
    <w:rsid w:val="00C46BDA"/>
    <w:rsid w:val="00C615CA"/>
    <w:rsid w:val="00C648F3"/>
    <w:rsid w:val="00C7493B"/>
    <w:rsid w:val="00C839DD"/>
    <w:rsid w:val="00C95FCC"/>
    <w:rsid w:val="00D10865"/>
    <w:rsid w:val="00D22390"/>
    <w:rsid w:val="00D42629"/>
    <w:rsid w:val="00D83E17"/>
    <w:rsid w:val="00DA64D1"/>
    <w:rsid w:val="00DD38E7"/>
    <w:rsid w:val="00DF3AF7"/>
    <w:rsid w:val="00E140BE"/>
    <w:rsid w:val="00E2109A"/>
    <w:rsid w:val="00E242EC"/>
    <w:rsid w:val="00E36253"/>
    <w:rsid w:val="00E4204D"/>
    <w:rsid w:val="00E46023"/>
    <w:rsid w:val="00E471CC"/>
    <w:rsid w:val="00E624AF"/>
    <w:rsid w:val="00E71FD8"/>
    <w:rsid w:val="00EE2B58"/>
    <w:rsid w:val="00F00C67"/>
    <w:rsid w:val="00F22A21"/>
    <w:rsid w:val="00F33C09"/>
    <w:rsid w:val="00F4161D"/>
    <w:rsid w:val="00FA5111"/>
    <w:rsid w:val="00FA7CE0"/>
    <w:rsid w:val="00FF67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69666B08"/>
  <w15:chartTrackingRefBased/>
  <w15:docId w15:val="{DD80166E-96B9-1A43-A86A-0640FA72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31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2CFB"/>
    <w:pPr>
      <w:spacing w:before="100" w:beforeAutospacing="1" w:after="100" w:afterAutospacing="1"/>
    </w:pPr>
  </w:style>
  <w:style w:type="character" w:customStyle="1" w:styleId="FooterChar">
    <w:name w:val="Footer Char"/>
    <w:basedOn w:val="DefaultParagraphFont"/>
    <w:link w:val="Footer"/>
    <w:uiPriority w:val="99"/>
    <w:qFormat/>
    <w:rsid w:val="00AF431E"/>
    <w:rPr>
      <w:rFonts w:ascii="Times New Roman" w:eastAsia="Times New Roman" w:hAnsi="Times New Roman" w:cs="Times New Roman"/>
    </w:rPr>
  </w:style>
  <w:style w:type="character" w:styleId="PageNumber">
    <w:name w:val="page number"/>
    <w:basedOn w:val="DefaultParagraphFont"/>
    <w:uiPriority w:val="99"/>
    <w:semiHidden/>
    <w:unhideWhenUsed/>
    <w:qFormat/>
    <w:rsid w:val="00AF431E"/>
  </w:style>
  <w:style w:type="paragraph" w:styleId="Footer">
    <w:name w:val="footer"/>
    <w:basedOn w:val="Normal"/>
    <w:link w:val="FooterChar"/>
    <w:uiPriority w:val="99"/>
    <w:unhideWhenUsed/>
    <w:rsid w:val="00AF431E"/>
    <w:pPr>
      <w:tabs>
        <w:tab w:val="center" w:pos="4419"/>
        <w:tab w:val="right" w:pos="8838"/>
      </w:tabs>
    </w:pPr>
    <w:rPr>
      <w:lang w:eastAsia="en-US"/>
    </w:rPr>
  </w:style>
  <w:style w:type="character" w:customStyle="1" w:styleId="FooterChar1">
    <w:name w:val="Footer Char1"/>
    <w:basedOn w:val="DefaultParagraphFont"/>
    <w:uiPriority w:val="99"/>
    <w:semiHidden/>
    <w:rsid w:val="00AF431E"/>
    <w:rPr>
      <w:rFonts w:ascii="Times New Roman" w:eastAsia="Times New Roman" w:hAnsi="Times New Roman" w:cs="Times New Roman"/>
      <w:lang w:eastAsia="en-GB"/>
    </w:rPr>
  </w:style>
  <w:style w:type="character" w:styleId="Hyperlink">
    <w:name w:val="Hyperlink"/>
    <w:basedOn w:val="DefaultParagraphFont"/>
    <w:uiPriority w:val="99"/>
    <w:unhideWhenUsed/>
    <w:rsid w:val="00AF431E"/>
    <w:rPr>
      <w:color w:val="0563C1" w:themeColor="hyperlink"/>
      <w:u w:val="single"/>
    </w:rPr>
  </w:style>
  <w:style w:type="character" w:styleId="LineNumber">
    <w:name w:val="line number"/>
    <w:basedOn w:val="DefaultParagraphFont"/>
    <w:uiPriority w:val="99"/>
    <w:semiHidden/>
    <w:unhideWhenUsed/>
    <w:rsid w:val="00AF431E"/>
  </w:style>
  <w:style w:type="character" w:styleId="UnresolvedMention">
    <w:name w:val="Unresolved Mention"/>
    <w:basedOn w:val="DefaultParagraphFont"/>
    <w:uiPriority w:val="99"/>
    <w:semiHidden/>
    <w:unhideWhenUsed/>
    <w:rsid w:val="00D42629"/>
    <w:rPr>
      <w:color w:val="605E5C"/>
      <w:shd w:val="clear" w:color="auto" w:fill="E1DFDD"/>
    </w:rPr>
  </w:style>
  <w:style w:type="paragraph" w:styleId="Header">
    <w:name w:val="header"/>
    <w:basedOn w:val="Normal"/>
    <w:link w:val="HeaderChar"/>
    <w:uiPriority w:val="99"/>
    <w:unhideWhenUsed/>
    <w:rsid w:val="00395D9B"/>
    <w:pPr>
      <w:tabs>
        <w:tab w:val="center" w:pos="4513"/>
        <w:tab w:val="right" w:pos="9026"/>
      </w:tabs>
    </w:pPr>
  </w:style>
  <w:style w:type="character" w:customStyle="1" w:styleId="HeaderChar">
    <w:name w:val="Header Char"/>
    <w:basedOn w:val="DefaultParagraphFont"/>
    <w:link w:val="Header"/>
    <w:uiPriority w:val="99"/>
    <w:rsid w:val="00395D9B"/>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9E55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36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co.csic.es/index.php/s/F4YodKprCZSAwL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7605/OSF.IO/ANRXZ"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co.csic.es/index.php/s/Ww2kP2ZcrSNbTG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1.tiff"/><Relationship Id="rId4" Type="http://schemas.openxmlformats.org/officeDocument/2006/relationships/footnotes" Target="footnotes.xml"/><Relationship Id="rId9" Type="http://schemas.openxmlformats.org/officeDocument/2006/relationships/hyperlink" Target="https://saco.csic.es/index.php/s/tLc6SZRLd7gtH7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Centre d?Estudis Avançats de Blanes</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dc:creator>
  <cp:keywords/>
  <dc:description/>
  <cp:lastModifiedBy>Kristiaan Hoedemakers</cp:lastModifiedBy>
  <cp:revision>3</cp:revision>
  <dcterms:created xsi:type="dcterms:W3CDTF">2022-06-10T11:33:00Z</dcterms:created>
  <dcterms:modified xsi:type="dcterms:W3CDTF">2022-06-10T11:33:00Z</dcterms:modified>
</cp:coreProperties>
</file>