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5FD5" w14:textId="77777777" w:rsidR="003C4A06" w:rsidRDefault="003C4A06" w:rsidP="003C4A06">
      <w:pPr>
        <w:pStyle w:val="NormalEJTstylesMaintext"/>
      </w:pPr>
      <w:r>
        <w:t>https://doi.org/10.5852/ejt.2025.1011.3023.13557</w:t>
      </w:r>
    </w:p>
    <w:p w14:paraId="248E5BB5" w14:textId="77A9A377" w:rsidR="003C1107" w:rsidRPr="003C1107" w:rsidRDefault="003C1107" w:rsidP="003C1107">
      <w:pPr>
        <w:spacing w:line="360" w:lineRule="auto"/>
        <w:rPr>
          <w:rFonts w:ascii="Times New Roman" w:hAnsi="Times New Roman" w:cs="Times New Roman"/>
          <w:b/>
          <w:sz w:val="28"/>
          <w:szCs w:val="28"/>
        </w:rPr>
      </w:pPr>
      <w:r w:rsidRPr="0016446E">
        <w:rPr>
          <w:rFonts w:ascii="Times New Roman" w:hAnsi="Times New Roman" w:cs="Times New Roman"/>
          <w:b/>
          <w:sz w:val="28"/>
          <w:szCs w:val="28"/>
        </w:rPr>
        <w:t>Supplement</w:t>
      </w:r>
      <w:r w:rsidR="00C00B39">
        <w:rPr>
          <w:rFonts w:ascii="Times New Roman" w:hAnsi="Times New Roman" w:cs="Times New Roman"/>
          <w:b/>
          <w:sz w:val="28"/>
          <w:szCs w:val="28"/>
        </w:rPr>
        <w:t>a</w:t>
      </w:r>
      <w:r w:rsidRPr="0016446E">
        <w:rPr>
          <w:rFonts w:ascii="Times New Roman" w:hAnsi="Times New Roman" w:cs="Times New Roman"/>
          <w:b/>
          <w:sz w:val="28"/>
          <w:szCs w:val="28"/>
        </w:rPr>
        <w:t xml:space="preserve">ry material </w:t>
      </w:r>
      <w:r w:rsidR="00B15F94">
        <w:rPr>
          <w:rFonts w:ascii="Times New Roman" w:hAnsi="Times New Roman" w:cs="Times New Roman"/>
          <w:b/>
          <w:sz w:val="28"/>
          <w:szCs w:val="28"/>
        </w:rPr>
        <w:t>2A</w:t>
      </w:r>
      <w:r w:rsidRPr="0016446E">
        <w:rPr>
          <w:rFonts w:ascii="Times New Roman" w:hAnsi="Times New Roman" w:cs="Times New Roman"/>
          <w:b/>
          <w:sz w:val="28"/>
          <w:szCs w:val="28"/>
        </w:rPr>
        <w:t xml:space="preserve">: </w:t>
      </w:r>
      <w:r w:rsidRPr="003C1107">
        <w:rPr>
          <w:rFonts w:ascii="Times New Roman" w:hAnsi="Times New Roman" w:cs="Times New Roman"/>
          <w:b/>
          <w:sz w:val="28"/>
          <w:szCs w:val="28"/>
        </w:rPr>
        <w:t>Already published abbreviations of existing or newly described species. The "Region" line shows which region the corresponding publication is about.</w:t>
      </w:r>
    </w:p>
    <w:tbl>
      <w:tblPr>
        <w:tblW w:w="8923" w:type="dxa"/>
        <w:tblLayout w:type="fixed"/>
        <w:tblLook w:val="04A0" w:firstRow="1" w:lastRow="0" w:firstColumn="1" w:lastColumn="0" w:noHBand="0" w:noVBand="1"/>
      </w:tblPr>
      <w:tblGrid>
        <w:gridCol w:w="1616"/>
        <w:gridCol w:w="1217"/>
        <w:gridCol w:w="1017"/>
        <w:gridCol w:w="1015"/>
        <w:gridCol w:w="978"/>
        <w:gridCol w:w="1019"/>
        <w:gridCol w:w="980"/>
        <w:gridCol w:w="1081"/>
      </w:tblGrid>
      <w:tr w:rsidR="003C1107" w:rsidRPr="00DC7D8F" w14:paraId="3E69E3CE" w14:textId="77777777" w:rsidTr="00632AF3">
        <w:tc>
          <w:tcPr>
            <w:tcW w:w="1616" w:type="dxa"/>
          </w:tcPr>
          <w:p w14:paraId="0460E694"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New name</w:t>
            </w:r>
          </w:p>
        </w:tc>
        <w:tc>
          <w:tcPr>
            <w:tcW w:w="1217" w:type="dxa"/>
          </w:tcPr>
          <w:p w14:paraId="147A7B9C"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{"citationID":"JoEwMNxp","properties":{"custom":"{\\scaps McInerney} et al. (2014)","formattedCitation":"{\\scaps McInerney} et 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McInerney</w:t>
            </w:r>
            <w:r w:rsidRPr="0062405E">
              <w:rPr>
                <w:rFonts w:ascii="Times New Roman" w:hAnsi="Times New Roman" w:cs="Times New Roman"/>
                <w:sz w:val="20"/>
                <w:szCs w:val="24"/>
              </w:rPr>
              <w:t xml:space="preserve"> et al. (2014)</w:t>
            </w:r>
            <w:r w:rsidRPr="00DC7D8F">
              <w:rPr>
                <w:rFonts w:ascii="Times New Roman" w:eastAsia="Times New Roman" w:hAnsi="Times New Roman" w:cs="Times New Roman"/>
                <w:color w:val="000000"/>
                <w:sz w:val="20"/>
                <w:szCs w:val="20"/>
                <w:lang w:eastAsia="de-DE"/>
              </w:rPr>
              <w:fldChar w:fldCharType="end"/>
            </w:r>
          </w:p>
        </w:tc>
        <w:tc>
          <w:tcPr>
            <w:tcW w:w="1017" w:type="dxa"/>
          </w:tcPr>
          <w:p w14:paraId="39E4B9DB"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{"citationID":"X6ViWHbC","properties":{"custom":"{\\scaps Grabner} et al. (2020)","formattedCitation":"{\\scaps Grabner} et al. (2020)","plainCitation":"Grabner et al. (2020)","noteIndex":0},"citationItems":[{"id":1727,"uris":["http://zotero.org/users/local/snSnCIR8/items/UIKXXJ4R",["http://zotero.org/users/local/snSnCIR8/items/UIKXXJ4R"]],"itemData":{"id":1727,"type":"article-journal","abstract":"A set of 69 specimens from 19 groundwater species of the genera\n              Niphargus\n              ,\n              Niphargellus\n              ,\n              Microniphargus\n              and\n              Crangonyx\n              was genetically screened for microsporidian infections. Samples mostly originated from groundwater-dependent spring environments (71%), natural caves (9%) and artificial caverns/tunnels (13%). Amphipod hosts were identified by morphology and/or molecular data, whereas microsporidian parasites were characterised by a genetic screening assay targeting a section of the small subunit rRNA gene.\n            \n            \n              Five microsporidian species (\n              Dictyocoela duebenum\n              ;\n              Nosema\n              sp.;\n              Hyperspora aquatica\n              and two undescribed\n              Microsporidium\n              spp.) were revealed from 13 host specimens (\n              Niphargus schellenbergi\n              ;\n              N. aquilex\n              lineages B, F and G;\n              Niphargellus arndti\n              ). In particular\n              N. schellenbergi\n              was frequently infected with\n              D. duebenum\n              as well as a new and potentially niphargid-specific\n              Nosema\n              sp. identified in\n              Niphargellus arndti\n              .\n            \n            Our results shed further light on the still largely unknown diversity and specificity of microsporidian parasites in groundwater amphipods and subterranean animals in general.","container-title":"Subterranean Biology","DOI":"10.3897/subtbiol.33.48633","ISSN":"1314-2615, 1768-1448","page":"71-85","source":"DOI.org (Crossref)","title":"Updates to the sporadic knowledge on microsporidian infections in groundwater amphipods (Crustacea, Amphipoda, Niphargidae)","volume":"33","author":[{"family":"Grabner","given":"Daniel"},{"family":"Weber","given":"Dieter"},{"family":"Weigand","given":"Alexander M."}],"issued":{"date-parts":[["2020",2,13]]}}}],"schema":"https://github.com/citation-style-language/schema/raw/master/csl-citation.json"}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Grabner</w:t>
            </w:r>
            <w:r w:rsidRPr="0062405E">
              <w:rPr>
                <w:rFonts w:ascii="Times New Roman" w:hAnsi="Times New Roman" w:cs="Times New Roman"/>
                <w:sz w:val="20"/>
                <w:szCs w:val="24"/>
              </w:rPr>
              <w:t xml:space="preserve"> et al. (2020)</w:t>
            </w:r>
            <w:r w:rsidRPr="00DC7D8F">
              <w:rPr>
                <w:rFonts w:ascii="Times New Roman" w:eastAsia="Times New Roman" w:hAnsi="Times New Roman" w:cs="Times New Roman"/>
                <w:color w:val="000000"/>
                <w:sz w:val="20"/>
                <w:szCs w:val="20"/>
                <w:lang w:eastAsia="de-DE"/>
              </w:rPr>
              <w:fldChar w:fldCharType="end"/>
            </w:r>
          </w:p>
        </w:tc>
        <w:tc>
          <w:tcPr>
            <w:tcW w:w="1015" w:type="dxa"/>
          </w:tcPr>
          <w:p w14:paraId="16BAEA84"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{"citationID":"uTpcuP9b","properties":{"custom":"{\\scaps Weber} &amp; {\\scaps Flot} (2020)","formattedCitation":"{\\scaps Weber} &amp; {\\scaps Flot} (2020)","plainCitation":"Weber &amp; Flot (2020)","noteIndex":0},"citationItems":[{"id":1779,"uris":["http://zotero.org/users/local/snSnCIR8/items/HZVHHLAA"],"itemData":{"id":1779,"type":"chapter","container-title":"Rote Liste gefährdeter Tiere und Pflanzen des Saarlandes, pdf-Ausgabe","event-place":"Saarbrücken und Landsweiler-Reden","page":"3-9","publisher-place":"Saarbrücken und Landsweiler-Reden","title":"Rote Liste und Gesamtartenliste der Grundwasserkrebse (Niphargidae) des Saarlandes","URL":"https://rote-liste-saarland.de/wp-content/uploads/2020/10/SL-255-RL-Grundwasserkrebse_PDF_Version-2020.pdf","author":[{"family":"Weber","given":"Dieter"},{"family":"Flot","given":"Jean-François"}],"issued":{"date-parts":[["2020"]]}}}],"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Weber</w:t>
            </w:r>
            <w:r w:rsidRPr="0062405E">
              <w:rPr>
                <w:rFonts w:ascii="Times New Roman" w:hAnsi="Times New Roman" w:cs="Times New Roman"/>
                <w:sz w:val="20"/>
                <w:szCs w:val="24"/>
              </w:rPr>
              <w:t xml:space="preserve"> &amp; </w:t>
            </w:r>
            <w:r w:rsidRPr="0062405E">
              <w:rPr>
                <w:rFonts w:ascii="Times New Roman" w:hAnsi="Times New Roman" w:cs="Times New Roman"/>
                <w:smallCaps/>
                <w:sz w:val="20"/>
                <w:szCs w:val="24"/>
              </w:rPr>
              <w:t>Flot</w:t>
            </w:r>
            <w:r w:rsidRPr="0062405E">
              <w:rPr>
                <w:rFonts w:ascii="Times New Roman" w:hAnsi="Times New Roman" w:cs="Times New Roman"/>
                <w:sz w:val="20"/>
                <w:szCs w:val="24"/>
              </w:rPr>
              <w:t xml:space="preserve"> (2020)</w:t>
            </w:r>
            <w:r w:rsidRPr="00DC7D8F">
              <w:rPr>
                <w:rFonts w:ascii="Times New Roman" w:eastAsia="Times New Roman" w:hAnsi="Times New Roman" w:cs="Times New Roman"/>
                <w:color w:val="000000"/>
                <w:sz w:val="20"/>
                <w:szCs w:val="20"/>
                <w:lang w:eastAsia="de-DE"/>
              </w:rPr>
              <w:fldChar w:fldCharType="end"/>
            </w:r>
          </w:p>
        </w:tc>
        <w:tc>
          <w:tcPr>
            <w:tcW w:w="978" w:type="dxa"/>
          </w:tcPr>
          <w:p w14:paraId="1BC38945"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{"citationID":"TWUh3eRg","properties":{"custom":"{\\scaps Weber} et al. (2022)","formattedCitation":"{\\scaps Weber} et al. (2022)","plainCitation":"Weber et al. (2022)","noteIndex":0},"citationItems":[{"id":2042,"uris":["http://zotero.org/users/local/snSnCIR8/items/VIZ8P98J"],"itemData":{"id":2042,"type":"article-journal","abstract":"Niphargus amphipods were collected from 2007 to 2018 at 98 sites comprising artificial caverns, springs and interstitial waters in the Grand Duchy of Luxembourg. Opportunistic sampling was combined with passive trapping. Specimen identification was achieved using morphological keys and molecular data. Initial morphological determination and literature data suggested five species, whereas sequencing of fragments of the mitochondrial cytochrome c oxidase subunit 1 gene and nuclear 28S rDNA marker supported the presence of seven species: Niphargus schellenbergi, Niphargus puteanus, Niphargus fontanus, one species of the Niphargus kochianus complex, and three species of the Niphargus aquilex complex. Niphargus schellenbergi was by far the most abundant and widespread species. Limited overlap was observed between literature-based records, our initial morphological determinations based on classical taxonomic characters, and genetic sequence data. In general, the combination of phenotypically variable taxa, such as N. schellenbergi, and cryptic or near-cryptic species, as in the N. aquilex complex, renders morphological identification of niphargids from Luxembourg a challenging or even impossible task. DNA taxonomy will therefore have to be used in future studies of the fauna of this region.","container-title":"Zootaxa","DOI":"10.11646/zootaxa.5222.6.1","ISSN":"1175-5334, 1175-5326","issue":"6","journalAbbreviation":"Zootaxa","page":"501-533","source":"DOI.org (Crossref)","title":"Molecular analyses of groundwater amphipods (Crustacea: Niphargidae) from Luxembourg: new species reveal limitations of morphology-based checklists","title-short":"Molecular analyses of groundwater amphipods (Crustacea","volume":"5222","author":[{"family":"Weber","given":"Dieter"},{"family":"Flot","given":"Jean-François"},{"family":"Frantz","given":"Alain C."},{"family":"Weigand","given":"Alexander M."}],"issued":{"date-parts":[["2022",12,23]]}}}],"schema":"https://github.com/citation-style-language/schema/raw/master/csl-citation.json"}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Weber</w:t>
            </w:r>
            <w:r w:rsidRPr="0062405E">
              <w:rPr>
                <w:rFonts w:ascii="Times New Roman" w:hAnsi="Times New Roman" w:cs="Times New Roman"/>
                <w:sz w:val="20"/>
                <w:szCs w:val="24"/>
              </w:rPr>
              <w:t xml:space="preserve"> et al. (2022)</w:t>
            </w:r>
            <w:r w:rsidRPr="00DC7D8F">
              <w:rPr>
                <w:rFonts w:ascii="Times New Roman" w:eastAsia="Times New Roman" w:hAnsi="Times New Roman" w:cs="Times New Roman"/>
                <w:color w:val="000000"/>
                <w:sz w:val="20"/>
                <w:szCs w:val="20"/>
                <w:lang w:eastAsia="de-DE"/>
              </w:rPr>
              <w:fldChar w:fldCharType="end"/>
            </w:r>
          </w:p>
        </w:tc>
        <w:tc>
          <w:tcPr>
            <w:tcW w:w="1019" w:type="dxa"/>
          </w:tcPr>
          <w:p w14:paraId="3775E233"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{"citationID":"DYRxy1yg","properties":{"custom":"{\\scaps Weber} &amp; {\\scaps Weigand} (2023)","formattedCitation":"{\\scaps Weber} &amp; {\\scaps Weigand} (2023)","plainCitation":"Weber &amp; Weigand (2023)","noteIndex":0},"citationItems":[{"id":2110,"uris":["http://zotero.org/users/local/snSnCIR8/items/MRKPQBXR"],"itemData":{"id":2110,"type":"article-journal","abstract":"Hyporheic interstitials are ecologically dynamic and often neglected aquatic environments. In this study, groundwater amphipods (Niphargidae, Pseudoniphargidae and Crangonyctidae) were sampled in hyporheic interstitials throughout Luxembourg and The Greater Region and specimens were analyzed by DNA barcoding. Sites characterized by gravel or coarse sand and high flow velocities of incoming water were the most species- and specimen-rich. A total of 11 species were detected, of which the Niphargus aquilex lineage EF of the N. aquilex cryptic species complex and juveniles of N. schellenbergi dominated the data set, but an unknown lineage of the N. aquilex-complex was also found. Some regions appeared to be devoid of groundwater amphipods. We hypothesize that underlying sandstone formations resulting in low sediment porosity may prevent physical colonization, but also that historical water pollution may have a long-lasting effect, either through the persistence of contaminants in the sediment or low recolonization rates of affected populations. In summary, our approach expanded regional species inventories, confirmed known occurrences, and validated previously questionable or historical morphology-based detections. In addition, the collection of absence data provided valuable insights into local extinctions. Finally, DNA-based distribution data are needed to gather information on the ecological affinities of groundwater amphipods to understudied hyporheic interstitial environments.","container-title":"Diversity","DOI":"10.3390/d15030411","ISSN":"1424-2818","issue":"3","journalAbbreviation":"Diversity","language":"en","page":"411","source":"DOI.org (Crossref)","title":"Groundwater Amphipods of the hyporheic interstitial: a case study from Luxembourg and the Greater Region","title-short":"Groundwater Amphipods of the Hyporheic Interstitial","volume":"15","author":[{"family":"Weber","given":"Dieter"},{"family":"Weigand","given":"Alexander M."}],"issued":{"date-parts":[["2023",3,11]]}}}],"schema":"https://github.com/citation-style-language/schema/raw/master/csl-citation.json"}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Weber</w:t>
            </w:r>
            <w:r w:rsidRPr="0062405E">
              <w:rPr>
                <w:rFonts w:ascii="Times New Roman" w:hAnsi="Times New Roman" w:cs="Times New Roman"/>
                <w:sz w:val="20"/>
                <w:szCs w:val="24"/>
              </w:rPr>
              <w:t xml:space="preserve"> &amp; </w:t>
            </w:r>
            <w:r w:rsidRPr="0062405E">
              <w:rPr>
                <w:rFonts w:ascii="Times New Roman" w:hAnsi="Times New Roman" w:cs="Times New Roman"/>
                <w:smallCaps/>
                <w:sz w:val="20"/>
                <w:szCs w:val="24"/>
              </w:rPr>
              <w:t>Weigand</w:t>
            </w:r>
            <w:r w:rsidRPr="0062405E">
              <w:rPr>
                <w:rFonts w:ascii="Times New Roman" w:hAnsi="Times New Roman" w:cs="Times New Roman"/>
                <w:sz w:val="20"/>
                <w:szCs w:val="24"/>
              </w:rPr>
              <w:t xml:space="preserve"> (2023)</w:t>
            </w:r>
            <w:r w:rsidRPr="00DC7D8F">
              <w:rPr>
                <w:rFonts w:ascii="Times New Roman" w:eastAsia="Times New Roman" w:hAnsi="Times New Roman" w:cs="Times New Roman"/>
                <w:color w:val="000000"/>
                <w:sz w:val="20"/>
                <w:szCs w:val="20"/>
                <w:lang w:eastAsia="de-DE"/>
              </w:rPr>
              <w:fldChar w:fldCharType="end"/>
            </w:r>
          </w:p>
        </w:tc>
        <w:tc>
          <w:tcPr>
            <w:tcW w:w="980" w:type="dxa"/>
          </w:tcPr>
          <w:p w14:paraId="407398F7"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{"citationID":"3M2IXl1J","properties":{"custom":"{\\scaps Weber} et al. (2023)","formattedCitation":"{\\scaps Weber} et al. (2023)","plainCitation":"Weber et al. (2023)","noteIndex":0},"citationItems":[{"id":2112,"uris":["http://zotero.org/users/local/snSnCIR8/items/H5PPP9WK"],"itemData":{"id":2112,"type":"report","abstract":"As for many other groups, patterns of biodiversity for subter-ranean crustaceans in Europe indicate larger morphospecies ranges at higher latitudes (the so-called Rapoport effect). However, this observed correlation may be artefactual if many of those high-latitude, widely distributed morphospecies are actually species complexes. To test this hypothesis, we looked for previously undetected species boundaries within\n            Niphargus aquilex\n            and\n            Niphargus schellenbergi\n            , two closely related morphospecies of groundwater amphipods widely distributed in northern Europe, by sequencing fragments of the mitochondrial cytochrome\n            c\n            oxidase subunit I gene (COI) and of the nuclear 28S ribosomal RNA gene of 198 individuals collected across their area of distribution. Distance-based and allele sharing-based species delimitation approaches were congruent in revealing the existence of at least eight species within\n            N. aquilex\n            and at least two species with\n            N. schellenbergi\n            . Our data demonstrate that these two common morphospecies with large ranges are actually complexes of species with narrower distributions, suggesting that the Rapoport effect might be the result of increased morphological stasis at high latitudes rather than actual differences in sizes of distribution ranges.","genre":"preprint","language":"en","note":"DOI: 10.1101/2023.08.13.553147","publisher":"Zoology","source":"DOI.org (Crossref)","title":"Water diviners multiplied: cryptic diversity in the &lt;i&gt;Niphargus aquilex&lt;/i&gt; species complex in Northern Europe","title-short":"Water diviners multiplied","URL":"http://biorxiv.org/lookup/doi/10.1101/2023.08.13.553147","author":[{"family":"Weber","given":"Dieter"},{"family":"Brad","given":"Traian"},{"family":"Weigand","given":"Alexander"},{"family":"Flot","given":"Jean-François"}],"accessed":{"date-parts":[["2023",9,26]]},"issued":{"date-parts":[["2023",8,15]]}}}],"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62405E">
              <w:rPr>
                <w:rFonts w:ascii="Times New Roman" w:hAnsi="Times New Roman" w:cs="Times New Roman"/>
                <w:smallCaps/>
                <w:sz w:val="20"/>
                <w:szCs w:val="24"/>
              </w:rPr>
              <w:t>Weber</w:t>
            </w:r>
            <w:r w:rsidRPr="0062405E">
              <w:rPr>
                <w:rFonts w:ascii="Times New Roman" w:hAnsi="Times New Roman" w:cs="Times New Roman"/>
                <w:sz w:val="20"/>
                <w:szCs w:val="24"/>
              </w:rPr>
              <w:t xml:space="preserve"> et al. (2023)</w:t>
            </w:r>
            <w:r w:rsidRPr="00DC7D8F">
              <w:rPr>
                <w:rFonts w:ascii="Times New Roman" w:eastAsia="Times New Roman" w:hAnsi="Times New Roman" w:cs="Times New Roman"/>
                <w:color w:val="000000"/>
                <w:sz w:val="20"/>
                <w:szCs w:val="20"/>
                <w:lang w:eastAsia="de-DE"/>
              </w:rPr>
              <w:fldChar w:fldCharType="end"/>
            </w:r>
          </w:p>
        </w:tc>
        <w:tc>
          <w:tcPr>
            <w:tcW w:w="1081" w:type="dxa"/>
          </w:tcPr>
          <w:p w14:paraId="2DC01EC9" w14:textId="77777777" w:rsidR="003C1107" w:rsidRPr="00DC7D8F" w:rsidRDefault="003C1107" w:rsidP="00632AF3">
            <w:pPr>
              <w:spacing w:line="240" w:lineRule="auto"/>
              <w:rPr>
                <w:rFonts w:ascii="Times New Roman" w:eastAsia="Times New Roman" w:hAnsi="Times New Roman" w:cs="Times New Roman"/>
                <w:color w:val="000000"/>
                <w:sz w:val="20"/>
                <w:szCs w:val="20"/>
                <w:lang w:eastAsia="de-DE"/>
              </w:rPr>
            </w:pPr>
            <w:r w:rsidRPr="00C36864">
              <w:rPr>
                <w:rFonts w:ascii="Times New Roman" w:eastAsia="Times New Roman" w:hAnsi="Times New Roman" w:cs="Times New Roman"/>
                <w:color w:val="000000"/>
                <w:sz w:val="20"/>
                <w:szCs w:val="20"/>
                <w:lang w:val="nl-BE" w:eastAsia="de-DE"/>
              </w:rPr>
              <w:t xml:space="preserve">colours in </w:t>
            </w:r>
            <w:r w:rsidRPr="00DC7D8F">
              <w:rPr>
                <w:rFonts w:ascii="Times New Roman" w:eastAsia="Times New Roman" w:hAnsi="Times New Roman" w:cs="Times New Roman"/>
                <w:color w:val="000000"/>
                <w:sz w:val="20"/>
                <w:szCs w:val="20"/>
                <w:lang w:eastAsia="de-DE"/>
              </w:rPr>
              <w:fldChar w:fldCharType="begin"/>
            </w:r>
            <w:r w:rsidRPr="00C36864">
              <w:rPr>
                <w:rFonts w:ascii="Times New Roman" w:eastAsia="Times New Roman" w:hAnsi="Times New Roman" w:cs="Times New Roman"/>
                <w:color w:val="000000"/>
                <w:sz w:val="20"/>
                <w:szCs w:val="20"/>
                <w:lang w:val="nl-BE" w:eastAsia="de-DE"/>
              </w:rPr>
              <w:instrText xml:space="preserve"> ADDIN ZOTERO_ITEM CSL_CITATION {"citationID":"BNElc7vG","properties":{"custom":"{\\scaps Weber} et al. (2023)","formattedCitation":"{\\scaps Weber} et al. (2023)","plainCitation":"Weber et al. (2023)","noteIndex":0},"citationItems":[{"id":2112,"uris":["http://zotero.org/users/local/snSnCIR8/items/H5PPP9WK"],"itemData":{"id":2112,"type":"report","abstract":"As for many other groups, patterns of biodiversity for subter-ranean crustaceans in Europe indicate larger morphospecies ranges at higher latitudes (the so-called Rapoport effect). However, this observed correlation may be artefactual if many of those high-latitude, widely distributed morphospecies are actually species complexes. To test this hypothesis, we looked for previously undetected species boundaries within\n            Niphargus aquilex\n            and\n            Niphargus schellenbergi\n            , two closely related morphospecies of groundwater amphipods widely distributed in northern Europe, by sequencing fragments of the mitochondrial cytochrome\n            c\n            oxidase subunit I gene (COI) and of the nuclear 28S ribosomal RNA gene of 198 individuals collected across their area of distribution. Distance-based and allele sharing-based species delimitation approaches were congruent in revealing the existence of at least eight species within\n            N. aquilex\n            and at least two species with\n            N. schellenbergi\n            . Our data demonstrate that these two common morphospecies with large ranges are actually complexes of species with narrower distributions, suggesting that the Rapoport effect might be the result of increased morphological stasis at high latitudes rather than actual differences in sizes of distribution ranges.","genre":"preprint","language":"en","note":"DOI: 10.1101/2023.08.13.553147","publisher":"Zoology","source":"DOI.org (Crossref)","title":"Water diviners multiplied: cryptic diversity in the &lt;i&gt;Niphargus aquilex&lt;/i&gt; species complex in Northern Europe","title-short":"Water diviners multiplied","URL":"http://biorxiv.org/lookup/doi/10.1101/2023.08.13.553147","author":[{"family":"Weber","given":"Dieter"},{"family":"Brad","given":"Traian"},{"family":"Weigand","given":"Alexander"},{"family":"Flot","given":"Jean-François"}],"accessed":{"date-parts":[["2023",9,26]]},"issued":{"date-parts":[["2023",8,15]]}}}],"schema":"https://github.com/citation-style-language/schema/raw/master/csl-citation.json"} </w:instrText>
            </w:r>
            <w:r w:rsidRPr="00DC7D8F">
              <w:rPr>
                <w:rFonts w:ascii="Times New Roman" w:eastAsia="Times New Roman" w:hAnsi="Times New Roman" w:cs="Times New Roman"/>
                <w:color w:val="000000"/>
                <w:sz w:val="20"/>
                <w:szCs w:val="20"/>
                <w:lang w:eastAsia="de-DE"/>
              </w:rPr>
              <w:fldChar w:fldCharType="separate"/>
            </w:r>
            <w:r w:rsidRPr="00C36864">
              <w:rPr>
                <w:rFonts w:ascii="Times New Roman" w:hAnsi="Times New Roman" w:cs="Times New Roman"/>
                <w:smallCaps/>
                <w:sz w:val="20"/>
                <w:szCs w:val="24"/>
                <w:lang w:val="nl-BE"/>
              </w:rPr>
              <w:t>Weber</w:t>
            </w:r>
            <w:r w:rsidRPr="00C36864">
              <w:rPr>
                <w:rFonts w:ascii="Times New Roman" w:hAnsi="Times New Roman" w:cs="Times New Roman"/>
                <w:sz w:val="20"/>
                <w:szCs w:val="24"/>
                <w:lang w:val="nl-BE"/>
              </w:rPr>
              <w:t xml:space="preserve"> et al. </w:t>
            </w:r>
            <w:r w:rsidRPr="0062405E">
              <w:rPr>
                <w:rFonts w:ascii="Times New Roman" w:hAnsi="Times New Roman" w:cs="Times New Roman"/>
                <w:sz w:val="20"/>
                <w:szCs w:val="24"/>
              </w:rPr>
              <w:t>(2023)</w:t>
            </w:r>
            <w:r w:rsidRPr="00DC7D8F">
              <w:rPr>
                <w:rFonts w:ascii="Times New Roman" w:eastAsia="Times New Roman" w:hAnsi="Times New Roman" w:cs="Times New Roman"/>
                <w:color w:val="000000"/>
                <w:sz w:val="20"/>
                <w:szCs w:val="20"/>
                <w:lang w:eastAsia="de-DE"/>
              </w:rPr>
              <w:fldChar w:fldCharType="end"/>
            </w:r>
          </w:p>
        </w:tc>
      </w:tr>
      <w:tr w:rsidR="003C1107" w:rsidRPr="00DC7D8F" w14:paraId="2D6D88DF" w14:textId="77777777" w:rsidTr="00632AF3">
        <w:tc>
          <w:tcPr>
            <w:tcW w:w="1616" w:type="dxa"/>
          </w:tcPr>
          <w:p w14:paraId="7F55270E"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Region</w:t>
            </w:r>
          </w:p>
        </w:tc>
        <w:tc>
          <w:tcPr>
            <w:tcW w:w="1217" w:type="dxa"/>
          </w:tcPr>
          <w:p w14:paraId="00C84065"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Europe</w:t>
            </w:r>
          </w:p>
        </w:tc>
        <w:tc>
          <w:tcPr>
            <w:tcW w:w="1017" w:type="dxa"/>
          </w:tcPr>
          <w:p w14:paraId="1D5B235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Europe</w:t>
            </w:r>
          </w:p>
        </w:tc>
        <w:tc>
          <w:tcPr>
            <w:tcW w:w="1015" w:type="dxa"/>
          </w:tcPr>
          <w:p w14:paraId="4C682A88"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Saarland</w:t>
            </w:r>
          </w:p>
        </w:tc>
        <w:tc>
          <w:tcPr>
            <w:tcW w:w="978" w:type="dxa"/>
          </w:tcPr>
          <w:p w14:paraId="53348BE5"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Luxem-bourg</w:t>
            </w:r>
          </w:p>
        </w:tc>
        <w:tc>
          <w:tcPr>
            <w:tcW w:w="1019" w:type="dxa"/>
          </w:tcPr>
          <w:p w14:paraId="21E7A251"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Greater Luxem-bourg</w:t>
            </w:r>
          </w:p>
        </w:tc>
        <w:tc>
          <w:tcPr>
            <w:tcW w:w="980" w:type="dxa"/>
          </w:tcPr>
          <w:p w14:paraId="4E4AB3E6"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Europe</w:t>
            </w:r>
          </w:p>
        </w:tc>
        <w:tc>
          <w:tcPr>
            <w:tcW w:w="1081" w:type="dxa"/>
          </w:tcPr>
          <w:p w14:paraId="22E45A6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Europe</w:t>
            </w:r>
          </w:p>
        </w:tc>
      </w:tr>
      <w:tr w:rsidR="003C1107" w:rsidRPr="00DC7D8F" w14:paraId="2BDF1831" w14:textId="77777777" w:rsidTr="00632AF3">
        <w:tc>
          <w:tcPr>
            <w:tcW w:w="1616" w:type="dxa"/>
          </w:tcPr>
          <w:p w14:paraId="5E28B039" w14:textId="77777777" w:rsidR="003C1107" w:rsidRPr="00DC7D8F" w:rsidRDefault="003C1107" w:rsidP="00632AF3">
            <w:pPr>
              <w:spacing w:after="0" w:line="240" w:lineRule="auto"/>
              <w:rPr>
                <w:rFonts w:ascii="Times New Roman" w:eastAsia="Times New Roman" w:hAnsi="Times New Roman" w:cs="Times New Roman"/>
                <w:i/>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i/>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aquilex</w:t>
            </w:r>
            <w:proofErr w:type="spellEnd"/>
            <w:r w:rsidRPr="00DC7D8F">
              <w:rPr>
                <w:rFonts w:ascii="Times New Roman" w:eastAsia="Times New Roman" w:hAnsi="Times New Roman" w:cs="Times New Roman"/>
                <w:i/>
                <w:color w:val="000000"/>
                <w:sz w:val="20"/>
                <w:szCs w:val="20"/>
                <w:lang w:eastAsia="de-DE"/>
              </w:rPr>
              <w:t xml:space="preserve"> </w:t>
            </w:r>
          </w:p>
        </w:tc>
        <w:tc>
          <w:tcPr>
            <w:tcW w:w="1217" w:type="dxa"/>
          </w:tcPr>
          <w:p w14:paraId="59FD530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B</w:t>
            </w:r>
          </w:p>
        </w:tc>
        <w:tc>
          <w:tcPr>
            <w:tcW w:w="1017" w:type="dxa"/>
          </w:tcPr>
          <w:p w14:paraId="6667D31E"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5" w:type="dxa"/>
          </w:tcPr>
          <w:p w14:paraId="381B04F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978" w:type="dxa"/>
          </w:tcPr>
          <w:p w14:paraId="7F9AFE47"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B</w:t>
            </w:r>
          </w:p>
        </w:tc>
        <w:tc>
          <w:tcPr>
            <w:tcW w:w="1019" w:type="dxa"/>
          </w:tcPr>
          <w:p w14:paraId="7819D59D"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B</w:t>
            </w:r>
          </w:p>
        </w:tc>
        <w:tc>
          <w:tcPr>
            <w:tcW w:w="980" w:type="dxa"/>
          </w:tcPr>
          <w:p w14:paraId="1224D090"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B</w:t>
            </w:r>
          </w:p>
        </w:tc>
        <w:tc>
          <w:tcPr>
            <w:tcW w:w="1081" w:type="dxa"/>
          </w:tcPr>
          <w:p w14:paraId="2961E6C7"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blue-grey</w:t>
            </w:r>
          </w:p>
        </w:tc>
      </w:tr>
      <w:tr w:rsidR="003C1107" w:rsidRPr="00DC7D8F" w14:paraId="1253C0B7" w14:textId="77777777" w:rsidTr="00632AF3">
        <w:tc>
          <w:tcPr>
            <w:tcW w:w="1616" w:type="dxa"/>
          </w:tcPr>
          <w:p w14:paraId="28AFD69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palatinensis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7CC8EB18"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A</w:t>
            </w:r>
          </w:p>
        </w:tc>
        <w:tc>
          <w:tcPr>
            <w:tcW w:w="1017" w:type="dxa"/>
          </w:tcPr>
          <w:p w14:paraId="42F00269"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5" w:type="dxa"/>
          </w:tcPr>
          <w:p w14:paraId="0C995861"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A</w:t>
            </w:r>
          </w:p>
        </w:tc>
        <w:tc>
          <w:tcPr>
            <w:tcW w:w="978" w:type="dxa"/>
          </w:tcPr>
          <w:p w14:paraId="71E039B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A</w:t>
            </w:r>
          </w:p>
        </w:tc>
        <w:tc>
          <w:tcPr>
            <w:tcW w:w="1019" w:type="dxa"/>
          </w:tcPr>
          <w:p w14:paraId="4213B97D"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A</w:t>
            </w:r>
          </w:p>
        </w:tc>
        <w:tc>
          <w:tcPr>
            <w:tcW w:w="980" w:type="dxa"/>
          </w:tcPr>
          <w:p w14:paraId="09BFC24F"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A</w:t>
            </w:r>
          </w:p>
        </w:tc>
        <w:tc>
          <w:tcPr>
            <w:tcW w:w="1081" w:type="dxa"/>
          </w:tcPr>
          <w:p w14:paraId="1C8E18A2"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purple</w:t>
            </w:r>
          </w:p>
        </w:tc>
      </w:tr>
      <w:tr w:rsidR="003C1107" w:rsidRPr="00DC7D8F" w14:paraId="5AF47A57" w14:textId="77777777" w:rsidTr="00632AF3">
        <w:tc>
          <w:tcPr>
            <w:tcW w:w="1616" w:type="dxa"/>
          </w:tcPr>
          <w:p w14:paraId="3214F95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w</w:t>
            </w:r>
            <w:r w:rsidR="0000104D">
              <w:rPr>
                <w:rFonts w:ascii="Times New Roman" w:eastAsia="Times New Roman" w:hAnsi="Times New Roman" w:cs="Times New Roman"/>
                <w:i/>
                <w:color w:val="000000"/>
                <w:sz w:val="20"/>
                <w:szCs w:val="20"/>
                <w:lang w:eastAsia="de-DE"/>
              </w:rPr>
              <w:t>asgau</w:t>
            </w:r>
            <w:r w:rsidRPr="00DC7D8F">
              <w:rPr>
                <w:rFonts w:ascii="Times New Roman" w:eastAsia="Times New Roman" w:hAnsi="Times New Roman" w:cs="Times New Roman"/>
                <w:i/>
                <w:color w:val="000000"/>
                <w:sz w:val="20"/>
                <w:szCs w:val="20"/>
                <w:lang w:eastAsia="de-DE"/>
              </w:rPr>
              <w:t>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69AEFFD5"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7" w:type="dxa"/>
          </w:tcPr>
          <w:p w14:paraId="79997E2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I</w:t>
            </w:r>
          </w:p>
        </w:tc>
        <w:tc>
          <w:tcPr>
            <w:tcW w:w="1015" w:type="dxa"/>
          </w:tcPr>
          <w:p w14:paraId="108A3820"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B1</w:t>
            </w:r>
          </w:p>
        </w:tc>
        <w:tc>
          <w:tcPr>
            <w:tcW w:w="978" w:type="dxa"/>
          </w:tcPr>
          <w:p w14:paraId="2197EAE2"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9" w:type="dxa"/>
          </w:tcPr>
          <w:p w14:paraId="5C1AAFF9"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I</w:t>
            </w:r>
          </w:p>
        </w:tc>
        <w:tc>
          <w:tcPr>
            <w:tcW w:w="980" w:type="dxa"/>
          </w:tcPr>
          <w:p w14:paraId="06DDD56D"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I</w:t>
            </w:r>
          </w:p>
        </w:tc>
        <w:tc>
          <w:tcPr>
            <w:tcW w:w="1081" w:type="dxa"/>
          </w:tcPr>
          <w:p w14:paraId="075174A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yellow</w:t>
            </w:r>
          </w:p>
        </w:tc>
      </w:tr>
      <w:tr w:rsidR="003C1107" w:rsidRPr="00DC7D8F" w14:paraId="4915C0D5" w14:textId="77777777" w:rsidTr="00632AF3">
        <w:tc>
          <w:tcPr>
            <w:tcW w:w="1616" w:type="dxa"/>
          </w:tcPr>
          <w:p w14:paraId="70062F5F"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normandiensis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38545290"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D</w:t>
            </w:r>
          </w:p>
        </w:tc>
        <w:tc>
          <w:tcPr>
            <w:tcW w:w="1017" w:type="dxa"/>
          </w:tcPr>
          <w:p w14:paraId="15F02C51"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M</w:t>
            </w:r>
          </w:p>
        </w:tc>
        <w:tc>
          <w:tcPr>
            <w:tcW w:w="1015" w:type="dxa"/>
          </w:tcPr>
          <w:p w14:paraId="39E0D646"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978" w:type="dxa"/>
          </w:tcPr>
          <w:p w14:paraId="018913C6"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9" w:type="dxa"/>
          </w:tcPr>
          <w:p w14:paraId="02C84C5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980" w:type="dxa"/>
          </w:tcPr>
          <w:p w14:paraId="5924EB3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 xml:space="preserve">D, </w:t>
            </w:r>
            <w:r w:rsidRPr="00DC7D8F">
              <w:rPr>
                <w:rFonts w:ascii="Times New Roman" w:eastAsia="Times New Roman" w:hAnsi="Times New Roman" w:cs="Times New Roman"/>
                <w:color w:val="000000"/>
                <w:sz w:val="20"/>
                <w:szCs w:val="20"/>
                <w:lang w:eastAsia="de-DE"/>
              </w:rPr>
              <w:t>N</w:t>
            </w:r>
          </w:p>
        </w:tc>
        <w:tc>
          <w:tcPr>
            <w:tcW w:w="1081" w:type="dxa"/>
          </w:tcPr>
          <w:p w14:paraId="7861556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green, yellow-green</w:t>
            </w:r>
          </w:p>
        </w:tc>
      </w:tr>
      <w:tr w:rsidR="003C1107" w:rsidRPr="00DC7D8F" w14:paraId="26555600" w14:textId="77777777" w:rsidTr="00632AF3">
        <w:tc>
          <w:tcPr>
            <w:tcW w:w="1616" w:type="dxa"/>
          </w:tcPr>
          <w:p w14:paraId="62938D9C"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saraviensis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51AC7888"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7" w:type="dxa"/>
          </w:tcPr>
          <w:p w14:paraId="6098D198"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G</w:t>
            </w:r>
          </w:p>
        </w:tc>
        <w:tc>
          <w:tcPr>
            <w:tcW w:w="1015" w:type="dxa"/>
          </w:tcPr>
          <w:p w14:paraId="61ADAC67"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1</w:t>
            </w:r>
          </w:p>
        </w:tc>
        <w:tc>
          <w:tcPr>
            <w:tcW w:w="978" w:type="dxa"/>
          </w:tcPr>
          <w:p w14:paraId="5EBBD2BE"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G</w:t>
            </w:r>
          </w:p>
        </w:tc>
        <w:tc>
          <w:tcPr>
            <w:tcW w:w="1019" w:type="dxa"/>
          </w:tcPr>
          <w:p w14:paraId="6690AF5E"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G</w:t>
            </w:r>
          </w:p>
        </w:tc>
        <w:tc>
          <w:tcPr>
            <w:tcW w:w="980" w:type="dxa"/>
          </w:tcPr>
          <w:p w14:paraId="57A49C0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G</w:t>
            </w:r>
          </w:p>
        </w:tc>
        <w:tc>
          <w:tcPr>
            <w:tcW w:w="1081" w:type="dxa"/>
          </w:tcPr>
          <w:p w14:paraId="61020A6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blue</w:t>
            </w:r>
          </w:p>
        </w:tc>
      </w:tr>
      <w:tr w:rsidR="003C1107" w:rsidRPr="00DC7D8F" w14:paraId="22C850E3" w14:textId="77777777" w:rsidTr="00632AF3">
        <w:tc>
          <w:tcPr>
            <w:tcW w:w="1616" w:type="dxa"/>
          </w:tcPr>
          <w:p w14:paraId="32D1164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luxemburgensis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1A50077F"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F</w:t>
            </w:r>
          </w:p>
        </w:tc>
        <w:tc>
          <w:tcPr>
            <w:tcW w:w="1017" w:type="dxa"/>
          </w:tcPr>
          <w:p w14:paraId="0B3C4FF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5" w:type="dxa"/>
          </w:tcPr>
          <w:p w14:paraId="23D5168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F</w:t>
            </w:r>
          </w:p>
        </w:tc>
        <w:tc>
          <w:tcPr>
            <w:tcW w:w="978" w:type="dxa"/>
          </w:tcPr>
          <w:p w14:paraId="40CE9B7A"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EF</w:t>
            </w:r>
          </w:p>
        </w:tc>
        <w:tc>
          <w:tcPr>
            <w:tcW w:w="1019" w:type="dxa"/>
          </w:tcPr>
          <w:p w14:paraId="512F6E0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EF</w:t>
            </w:r>
          </w:p>
        </w:tc>
        <w:tc>
          <w:tcPr>
            <w:tcW w:w="980" w:type="dxa"/>
          </w:tcPr>
          <w:p w14:paraId="239C4900"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F, F'</w:t>
            </w:r>
          </w:p>
        </w:tc>
        <w:tc>
          <w:tcPr>
            <w:tcW w:w="1081" w:type="dxa"/>
          </w:tcPr>
          <w:p w14:paraId="3DA94BA8"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orange, pale red</w:t>
            </w:r>
          </w:p>
        </w:tc>
      </w:tr>
      <w:tr w:rsidR="003C1107" w:rsidRPr="00DC7D8F" w14:paraId="3CBC94A7" w14:textId="77777777" w:rsidTr="00632AF3">
        <w:tc>
          <w:tcPr>
            <w:tcW w:w="1616" w:type="dxa"/>
          </w:tcPr>
          <w:p w14:paraId="79D3DAAB"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lotharingiensis</w:t>
            </w:r>
            <w:proofErr w:type="spellEnd"/>
            <w:r w:rsidRPr="00DC7D8F">
              <w:rPr>
                <w:rFonts w:ascii="Times New Roman" w:eastAsia="Times New Roman" w:hAnsi="Times New Roman" w:cs="Times New Roman"/>
                <w:color w:val="000000"/>
                <w:sz w:val="20"/>
                <w:szCs w:val="20"/>
                <w:lang w:eastAsia="de-DE"/>
              </w:rPr>
              <w:t xml:space="preserve"> sp. </w:t>
            </w:r>
            <w:proofErr w:type="spellStart"/>
            <w:r w:rsidRPr="00DC7D8F">
              <w:rPr>
                <w:rFonts w:ascii="Times New Roman" w:eastAsia="Times New Roman" w:hAnsi="Times New Roman" w:cs="Times New Roman"/>
                <w:color w:val="000000"/>
                <w:sz w:val="20"/>
                <w:szCs w:val="20"/>
                <w:lang w:eastAsia="de-DE"/>
              </w:rPr>
              <w:t>nov.</w:t>
            </w:r>
            <w:proofErr w:type="spellEnd"/>
          </w:p>
        </w:tc>
        <w:tc>
          <w:tcPr>
            <w:tcW w:w="1217" w:type="dxa"/>
          </w:tcPr>
          <w:p w14:paraId="4F78D9E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7" w:type="dxa"/>
          </w:tcPr>
          <w:p w14:paraId="6A4BDEC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5" w:type="dxa"/>
          </w:tcPr>
          <w:p w14:paraId="7BADBDFF"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978" w:type="dxa"/>
          </w:tcPr>
          <w:p w14:paraId="535ED3B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9" w:type="dxa"/>
          </w:tcPr>
          <w:p w14:paraId="77EC61CD"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980" w:type="dxa"/>
          </w:tcPr>
          <w:p w14:paraId="4270E54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R, R*</w:t>
            </w:r>
          </w:p>
        </w:tc>
        <w:tc>
          <w:tcPr>
            <w:tcW w:w="1081" w:type="dxa"/>
          </w:tcPr>
          <w:p w14:paraId="00183BD9"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rose</w:t>
            </w:r>
          </w:p>
        </w:tc>
      </w:tr>
      <w:tr w:rsidR="003C1107" w:rsidRPr="00DC7D8F" w14:paraId="1892FBE1" w14:textId="77777777" w:rsidTr="00632AF3">
        <w:tc>
          <w:tcPr>
            <w:tcW w:w="1616" w:type="dxa"/>
          </w:tcPr>
          <w:p w14:paraId="299F9394"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Niphargus</w:t>
            </w:r>
            <w:proofErr w:type="spellEnd"/>
            <w:r w:rsidRPr="00DC7D8F">
              <w:rPr>
                <w:rFonts w:ascii="Times New Roman" w:eastAsia="Times New Roman" w:hAnsi="Times New Roman" w:cs="Times New Roman"/>
                <w:color w:val="000000"/>
                <w:sz w:val="20"/>
                <w:szCs w:val="20"/>
                <w:lang w:eastAsia="de-DE"/>
              </w:rPr>
              <w:t xml:space="preserve"> </w:t>
            </w:r>
            <w:proofErr w:type="spellStart"/>
            <w:r w:rsidRPr="00DC7D8F">
              <w:rPr>
                <w:rFonts w:ascii="Times New Roman" w:eastAsia="Times New Roman" w:hAnsi="Times New Roman" w:cs="Times New Roman"/>
                <w:i/>
                <w:color w:val="000000"/>
                <w:sz w:val="20"/>
                <w:szCs w:val="20"/>
                <w:lang w:eastAsia="de-DE"/>
              </w:rPr>
              <w:t>schellenbergi</w:t>
            </w:r>
            <w:proofErr w:type="spellEnd"/>
            <w:r w:rsidRPr="00DC7D8F">
              <w:rPr>
                <w:rFonts w:ascii="Times New Roman" w:eastAsia="Times New Roman" w:hAnsi="Times New Roman" w:cs="Times New Roman"/>
                <w:color w:val="000000"/>
                <w:sz w:val="20"/>
                <w:szCs w:val="20"/>
                <w:lang w:eastAsia="de-DE"/>
              </w:rPr>
              <w:t xml:space="preserve"> </w:t>
            </w:r>
          </w:p>
        </w:tc>
        <w:tc>
          <w:tcPr>
            <w:tcW w:w="1217" w:type="dxa"/>
          </w:tcPr>
          <w:p w14:paraId="69ED4BC3"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7" w:type="dxa"/>
          </w:tcPr>
          <w:p w14:paraId="4F805E1E"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p>
        </w:tc>
        <w:tc>
          <w:tcPr>
            <w:tcW w:w="1015" w:type="dxa"/>
          </w:tcPr>
          <w:p w14:paraId="0AA77C6B" w14:textId="77777777" w:rsidR="003C1107" w:rsidRPr="00DC7D8F" w:rsidRDefault="003C1107" w:rsidP="00632AF3">
            <w:pPr>
              <w:spacing w:after="0" w:line="240" w:lineRule="auto"/>
              <w:rPr>
                <w:rFonts w:ascii="Times New Roman" w:eastAsia="Times New Roman" w:hAnsi="Times New Roman" w:cs="Times New Roman"/>
                <w:i/>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schel-lenbergi</w:t>
            </w:r>
            <w:proofErr w:type="spellEnd"/>
          </w:p>
        </w:tc>
        <w:tc>
          <w:tcPr>
            <w:tcW w:w="978" w:type="dxa"/>
          </w:tcPr>
          <w:p w14:paraId="565CCE57" w14:textId="77777777" w:rsidR="003C1107" w:rsidRPr="00DC7D8F" w:rsidRDefault="003C1107" w:rsidP="00632AF3">
            <w:pPr>
              <w:spacing w:after="0" w:line="240" w:lineRule="auto"/>
              <w:rPr>
                <w:rFonts w:ascii="Times New Roman" w:eastAsia="Times New Roman" w:hAnsi="Times New Roman" w:cs="Times New Roman"/>
                <w:i/>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schel-lenbergi</w:t>
            </w:r>
            <w:proofErr w:type="spellEnd"/>
          </w:p>
        </w:tc>
        <w:tc>
          <w:tcPr>
            <w:tcW w:w="1019" w:type="dxa"/>
          </w:tcPr>
          <w:p w14:paraId="4164C5A8" w14:textId="77777777" w:rsidR="003C1107" w:rsidRPr="00DC7D8F" w:rsidRDefault="003C1107" w:rsidP="00632AF3">
            <w:pPr>
              <w:spacing w:after="0" w:line="240" w:lineRule="auto"/>
              <w:rPr>
                <w:rFonts w:ascii="Times New Roman" w:eastAsia="Times New Roman" w:hAnsi="Times New Roman" w:cs="Times New Roman"/>
                <w:i/>
                <w:color w:val="000000"/>
                <w:sz w:val="20"/>
                <w:szCs w:val="20"/>
                <w:lang w:eastAsia="de-DE"/>
              </w:rPr>
            </w:pPr>
            <w:proofErr w:type="spellStart"/>
            <w:r w:rsidRPr="00DC7D8F">
              <w:rPr>
                <w:rFonts w:ascii="Times New Roman" w:eastAsia="Times New Roman" w:hAnsi="Times New Roman" w:cs="Times New Roman"/>
                <w:i/>
                <w:color w:val="000000"/>
                <w:sz w:val="20"/>
                <w:szCs w:val="20"/>
                <w:lang w:eastAsia="de-DE"/>
              </w:rPr>
              <w:t>schel-lenbergi</w:t>
            </w:r>
            <w:proofErr w:type="spellEnd"/>
          </w:p>
        </w:tc>
        <w:tc>
          <w:tcPr>
            <w:tcW w:w="980" w:type="dxa"/>
          </w:tcPr>
          <w:p w14:paraId="51FFA701"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sidRPr="00DC7D8F">
              <w:rPr>
                <w:rFonts w:ascii="Times New Roman" w:eastAsia="Times New Roman" w:hAnsi="Times New Roman" w:cs="Times New Roman"/>
                <w:color w:val="000000"/>
                <w:sz w:val="20"/>
                <w:szCs w:val="20"/>
                <w:lang w:eastAsia="de-DE"/>
              </w:rPr>
              <w:t>S</w:t>
            </w:r>
          </w:p>
        </w:tc>
        <w:tc>
          <w:tcPr>
            <w:tcW w:w="1081" w:type="dxa"/>
          </w:tcPr>
          <w:p w14:paraId="57B6BD8F" w14:textId="77777777" w:rsidR="003C1107" w:rsidRPr="00DC7D8F" w:rsidRDefault="003C1107" w:rsidP="00632AF3">
            <w:pPr>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red</w:t>
            </w:r>
          </w:p>
        </w:tc>
      </w:tr>
    </w:tbl>
    <w:p w14:paraId="59D5B3EA" w14:textId="77777777" w:rsidR="00902357" w:rsidRDefault="00902357"/>
    <w:p w14:paraId="7663F54A" w14:textId="77777777" w:rsidR="00C00B39" w:rsidRPr="003C1107" w:rsidRDefault="00C00B39" w:rsidP="00C00B39">
      <w:pPr>
        <w:spacing w:line="360" w:lineRule="auto"/>
        <w:rPr>
          <w:rFonts w:ascii="Times New Roman" w:hAnsi="Times New Roman" w:cs="Times New Roman"/>
          <w:b/>
          <w:sz w:val="28"/>
          <w:szCs w:val="28"/>
        </w:rPr>
      </w:pPr>
      <w:r w:rsidRPr="0016446E">
        <w:rPr>
          <w:rFonts w:ascii="Times New Roman" w:hAnsi="Times New Roman" w:cs="Times New Roman"/>
          <w:b/>
          <w:sz w:val="28"/>
          <w:szCs w:val="28"/>
        </w:rPr>
        <w:t>Supplement</w:t>
      </w:r>
      <w:r>
        <w:rPr>
          <w:rFonts w:ascii="Times New Roman" w:hAnsi="Times New Roman" w:cs="Times New Roman"/>
          <w:b/>
          <w:sz w:val="28"/>
          <w:szCs w:val="28"/>
        </w:rPr>
        <w:t>a</w:t>
      </w:r>
      <w:r w:rsidRPr="0016446E">
        <w:rPr>
          <w:rFonts w:ascii="Times New Roman" w:hAnsi="Times New Roman" w:cs="Times New Roman"/>
          <w:b/>
          <w:sz w:val="28"/>
          <w:szCs w:val="28"/>
        </w:rPr>
        <w:t xml:space="preserve">ry material </w:t>
      </w:r>
      <w:r w:rsidR="00B15F94">
        <w:rPr>
          <w:rFonts w:ascii="Times New Roman" w:hAnsi="Times New Roman" w:cs="Times New Roman"/>
          <w:b/>
          <w:sz w:val="28"/>
          <w:szCs w:val="28"/>
        </w:rPr>
        <w:t>2B</w:t>
      </w:r>
      <w:r w:rsidRPr="0016446E">
        <w:rPr>
          <w:rFonts w:ascii="Times New Roman" w:hAnsi="Times New Roman" w:cs="Times New Roman"/>
          <w:b/>
          <w:sz w:val="28"/>
          <w:szCs w:val="28"/>
        </w:rPr>
        <w:t xml:space="preserve">: </w:t>
      </w:r>
      <w:r>
        <w:rPr>
          <w:rFonts w:ascii="Times New Roman" w:hAnsi="Times New Roman" w:cs="Times New Roman"/>
          <w:b/>
          <w:sz w:val="28"/>
          <w:szCs w:val="28"/>
        </w:rPr>
        <w:t xml:space="preserve">Used colours and colour names </w:t>
      </w:r>
      <w:r w:rsidRPr="00C00B39">
        <w:rPr>
          <w:rFonts w:ascii="Times New Roman" w:hAnsi="Times New Roman" w:cs="Times New Roman"/>
          <w:b/>
          <w:sz w:val="28"/>
          <w:szCs w:val="28"/>
        </w:rPr>
        <w:t xml:space="preserve">following </w:t>
      </w:r>
      <w:hyperlink r:id="rId4" w:history="1">
        <w:r w:rsidRPr="00C00B39">
          <w:rPr>
            <w:rFonts w:ascii="Times New Roman" w:hAnsi="Times New Roman" w:cs="Times New Roman"/>
            <w:b/>
            <w:sz w:val="28"/>
            <w:szCs w:val="28"/>
          </w:rPr>
          <w:t>https://www.w3schools.com/colors/colors_names.asp</w:t>
        </w:r>
      </w:hyperlink>
      <w:r w:rsidRPr="003C1107">
        <w:rPr>
          <w:rFonts w:ascii="Times New Roman" w:hAnsi="Times New Roman" w:cs="Times New Roman"/>
          <w:b/>
          <w:sz w:val="28"/>
          <w:szCs w:val="28"/>
        </w:rPr>
        <w:t>.</w:t>
      </w:r>
    </w:p>
    <w:p w14:paraId="73C61D8D" w14:textId="77777777" w:rsid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Name</w:t>
      </w:r>
      <w:r>
        <w:rPr>
          <w:rFonts w:ascii="Times New Roman" w:eastAsia="Times New Roman" w:hAnsi="Times New Roman" w:cs="Times New Roman"/>
          <w:color w:val="000000"/>
          <w:sz w:val="20"/>
          <w:szCs w:val="20"/>
          <w:lang w:eastAsia="de-DE"/>
        </w:rPr>
        <w:tab/>
        <w:t>Species</w:t>
      </w:r>
      <w:r>
        <w:rPr>
          <w:rFonts w:ascii="Times New Roman" w:eastAsia="Times New Roman" w:hAnsi="Times New Roman" w:cs="Times New Roman"/>
          <w:color w:val="000000"/>
          <w:sz w:val="20"/>
          <w:szCs w:val="20"/>
          <w:lang w:eastAsia="de-DE"/>
        </w:rPr>
        <w:tab/>
        <w:t>Colour Name</w:t>
      </w:r>
      <w:r>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rgb</w:t>
      </w:r>
      <w:proofErr w:type="spellEnd"/>
    </w:p>
    <w:p w14:paraId="1268AC3A" w14:textId="77777777" w:rsid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fldChar w:fldCharType="begin"/>
      </w:r>
      <w:r>
        <w:rPr>
          <w:rFonts w:ascii="Times New Roman" w:eastAsia="Times New Roman" w:hAnsi="Times New Roman" w:cs="Times New Roman"/>
          <w:color w:val="000000"/>
          <w:sz w:val="20"/>
          <w:szCs w:val="20"/>
          <w:lang w:eastAsia="de-DE"/>
        </w:rPr>
        <w:instrText xml:space="preserve"> ADDIN ZOTERO_ITEM CSL_CITATION {"citationID":"whCue36S","properties":{"formattedCitation":"(Weber {\\i{}et al.} 2023)","plainCitation":"(Weber et al. 2023)","noteIndex":0},"citationItems":[{"id":2112,"uris":["http://zotero.org/users/local/snSnCIR8/items/H5PPP9WK"],"itemData":{"id":2112,"type":"report","abstract":"As for many other groups, patterns of biodiversity for subter-ranean crustaceans in Europe indicate larger morphospecies ranges at higher latitudes (the so-called Rapoport effect). However, this observed correlation may be artefactual if many of those high-latitude, widely distributed morphospecies are actually species complexes. To test this hypothesis, we looked for previously undetected species boundaries within\n            Niphargus aquilex\n            and\n            Niphargus schellenbergi\n            , two closely related morphospecies of groundwater amphipods widely distributed in northern Europe, by sequencing fragments of the mitochondrial cytochrome\n            c\n            oxidase subunit I gene (COI) and of the nuclear 28S ribosomal RNA gene of 198 individuals collected across their area of distribution. Distance-based and allele sharing-based species delimitation approaches were congruent in revealing the existence of at least eight species within\n            N. aquilex\n            and at least two species with\n            N. schellenbergi\n            . Our data demonstrate that these two common morphospecies with large ranges are actually complexes of species with narrower distributions, suggesting that the Rapoport effect might be the result of increased morphological stasis at high latitudes rather than actual differences in sizes of distribution ranges.","genre":"preprint","language":"en","note":"DOI: 10.1101/2023.08.13.553147","publisher":"Zoology","source":"DOI.org (Crossref)","title":"Water diviners multiplied: cryptic diversity in the &lt;i&gt;Niphargus aquilex&lt;/i&gt; species complex in Northern Europe","title-short":"Water diviners multiplied","URL":"http://biorxiv.org/lookup/doi/10.1101/2023.08.13.553147","author":[{"family":"Weber","given":"Dieter"},{"family":"Brad","given":"Traian"},{"family":"Weigand","given":"Alexander"},{"family":"Flot","given":"Jean-François"}],"accessed":{"date-parts":[["2023",9,26]]},"issued":{"date-parts":[["2023",8,15]]}}}],"schema":"https://github.com/citation-style-language/schema/raw/master/csl-citation.json"} </w:instrText>
      </w:r>
      <w:r>
        <w:rPr>
          <w:rFonts w:ascii="Times New Roman" w:eastAsia="Times New Roman" w:hAnsi="Times New Roman" w:cs="Times New Roman"/>
          <w:color w:val="000000"/>
          <w:sz w:val="20"/>
          <w:szCs w:val="20"/>
          <w:lang w:eastAsia="de-DE"/>
        </w:rPr>
        <w:fldChar w:fldCharType="separate"/>
      </w:r>
      <w:r w:rsidRPr="00C00B39">
        <w:rPr>
          <w:rFonts w:ascii="Times New Roman" w:hAnsi="Times New Roman" w:cs="Times New Roman"/>
          <w:sz w:val="20"/>
          <w:szCs w:val="24"/>
        </w:rPr>
        <w:t xml:space="preserve">(Weber </w:t>
      </w:r>
      <w:r w:rsidRPr="00C00B39">
        <w:rPr>
          <w:rFonts w:ascii="Times New Roman" w:hAnsi="Times New Roman" w:cs="Times New Roman"/>
          <w:i/>
          <w:iCs/>
          <w:sz w:val="20"/>
          <w:szCs w:val="24"/>
        </w:rPr>
        <w:t>et al.</w:t>
      </w:r>
      <w:r w:rsidRPr="00C00B39">
        <w:rPr>
          <w:rFonts w:ascii="Times New Roman" w:hAnsi="Times New Roman" w:cs="Times New Roman"/>
          <w:sz w:val="20"/>
          <w:szCs w:val="24"/>
        </w:rPr>
        <w:t xml:space="preserve"> 2023)</w:t>
      </w:r>
      <w:r>
        <w:rPr>
          <w:rFonts w:ascii="Times New Roman" w:eastAsia="Times New Roman" w:hAnsi="Times New Roman" w:cs="Times New Roman"/>
          <w:color w:val="000000"/>
          <w:sz w:val="20"/>
          <w:szCs w:val="20"/>
          <w:lang w:eastAsia="de-DE"/>
        </w:rPr>
        <w:fldChar w:fldCharType="end"/>
      </w:r>
    </w:p>
    <w:p w14:paraId="54A3E63D"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A</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palatinensis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Fuchsia</w:t>
      </w:r>
      <w:r w:rsidRPr="00C00B39">
        <w:rPr>
          <w:rFonts w:ascii="Times New Roman" w:eastAsia="Times New Roman" w:hAnsi="Times New Roman" w:cs="Times New Roman"/>
          <w:color w:val="000000"/>
          <w:sz w:val="20"/>
          <w:szCs w:val="20"/>
          <w:lang w:eastAsia="de-DE"/>
        </w:rPr>
        <w:tab/>
        <w:t>255, 0, 255</w:t>
      </w:r>
    </w:p>
    <w:p w14:paraId="2EC4A2B4"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B</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aquilex</w:t>
      </w:r>
      <w:proofErr w:type="spellEnd"/>
      <w:r w:rsidRPr="00C00B39">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RoyalBlue</w:t>
      </w:r>
      <w:proofErr w:type="spellEnd"/>
      <w:r w:rsidRPr="00C00B39">
        <w:rPr>
          <w:rFonts w:ascii="Times New Roman" w:eastAsia="Times New Roman" w:hAnsi="Times New Roman" w:cs="Times New Roman"/>
          <w:color w:val="000000"/>
          <w:sz w:val="20"/>
          <w:szCs w:val="20"/>
          <w:lang w:eastAsia="de-DE"/>
        </w:rPr>
        <w:tab/>
        <w:t>65, 105, 225</w:t>
      </w:r>
    </w:p>
    <w:p w14:paraId="48A2A67C"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D</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normandiensis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Green</w:t>
      </w:r>
      <w:r w:rsidRPr="00C00B39">
        <w:rPr>
          <w:rFonts w:ascii="Times New Roman" w:eastAsia="Times New Roman" w:hAnsi="Times New Roman" w:cs="Times New Roman"/>
          <w:color w:val="000000"/>
          <w:sz w:val="20"/>
          <w:szCs w:val="20"/>
          <w:lang w:eastAsia="de-DE"/>
        </w:rPr>
        <w:tab/>
        <w:t>0, 128, 0</w:t>
      </w:r>
    </w:p>
    <w:p w14:paraId="22D9CDBF"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F</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luxemburgensis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DarkOrange</w:t>
      </w:r>
      <w:proofErr w:type="spellEnd"/>
      <w:r w:rsidRPr="00C00B39">
        <w:rPr>
          <w:rFonts w:ascii="Times New Roman" w:eastAsia="Times New Roman" w:hAnsi="Times New Roman" w:cs="Times New Roman"/>
          <w:color w:val="000000"/>
          <w:sz w:val="20"/>
          <w:szCs w:val="20"/>
          <w:lang w:eastAsia="de-DE"/>
        </w:rPr>
        <w:tab/>
        <w:t>255, 140, 0</w:t>
      </w:r>
    </w:p>
    <w:p w14:paraId="18B6E50B"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F'</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luxemburgensis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Salmon</w:t>
      </w:r>
      <w:r w:rsidRPr="00C00B39">
        <w:rPr>
          <w:rFonts w:ascii="Times New Roman" w:eastAsia="Times New Roman" w:hAnsi="Times New Roman" w:cs="Times New Roman"/>
          <w:color w:val="000000"/>
          <w:sz w:val="20"/>
          <w:szCs w:val="20"/>
          <w:lang w:eastAsia="de-DE"/>
        </w:rPr>
        <w:tab/>
        <w:t>250, 128, 114</w:t>
      </w:r>
    </w:p>
    <w:p w14:paraId="3B7D8381"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G</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saraviensis</w:t>
      </w:r>
      <w:proofErr w:type="spellEnd"/>
      <w:r w:rsidRPr="00C00B39">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t>B</w:t>
      </w:r>
      <w:r w:rsidRPr="00C00B39">
        <w:rPr>
          <w:rFonts w:ascii="Times New Roman" w:eastAsia="Times New Roman" w:hAnsi="Times New Roman" w:cs="Times New Roman"/>
          <w:color w:val="000000"/>
          <w:sz w:val="20"/>
          <w:szCs w:val="20"/>
          <w:lang w:eastAsia="de-DE"/>
        </w:rPr>
        <w:t>lue</w:t>
      </w:r>
      <w:r w:rsidRPr="00C00B39">
        <w:rPr>
          <w:rFonts w:ascii="Times New Roman" w:eastAsia="Times New Roman" w:hAnsi="Times New Roman" w:cs="Times New Roman"/>
          <w:color w:val="000000"/>
          <w:sz w:val="20"/>
          <w:szCs w:val="20"/>
          <w:lang w:eastAsia="de-DE"/>
        </w:rPr>
        <w:tab/>
        <w:t>0, 0, 255</w:t>
      </w:r>
    </w:p>
    <w:p w14:paraId="592AC1A8"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H</w:t>
      </w:r>
      <w:r w:rsidRPr="00C00B39">
        <w:rPr>
          <w:rFonts w:ascii="Times New Roman" w:eastAsia="Times New Roman" w:hAnsi="Times New Roman" w:cs="Times New Roman"/>
          <w:color w:val="000000"/>
          <w:sz w:val="20"/>
          <w:szCs w:val="20"/>
          <w:lang w:eastAsia="de-DE"/>
        </w:rPr>
        <w:tab/>
        <w:t xml:space="preserve">not herein described </w:t>
      </w:r>
      <w:r>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CadetBlue</w:t>
      </w:r>
      <w:proofErr w:type="spellEnd"/>
      <w:r w:rsidRPr="00C00B39">
        <w:rPr>
          <w:rFonts w:ascii="Times New Roman" w:eastAsia="Times New Roman" w:hAnsi="Times New Roman" w:cs="Times New Roman"/>
          <w:color w:val="000000"/>
          <w:sz w:val="20"/>
          <w:szCs w:val="20"/>
          <w:lang w:eastAsia="de-DE"/>
        </w:rPr>
        <w:tab/>
        <w:t>95, 158, 160</w:t>
      </w:r>
    </w:p>
    <w:p w14:paraId="5854230B"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H'</w:t>
      </w:r>
      <w:r w:rsidRPr="00C00B39">
        <w:rPr>
          <w:rFonts w:ascii="Times New Roman" w:eastAsia="Times New Roman" w:hAnsi="Times New Roman" w:cs="Times New Roman"/>
          <w:color w:val="000000"/>
          <w:sz w:val="20"/>
          <w:szCs w:val="20"/>
          <w:lang w:eastAsia="de-DE"/>
        </w:rPr>
        <w:tab/>
        <w:t xml:space="preserve">not herein described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Maroon</w:t>
      </w:r>
      <w:r w:rsidRPr="00C00B39">
        <w:rPr>
          <w:rFonts w:ascii="Times New Roman" w:eastAsia="Times New Roman" w:hAnsi="Times New Roman" w:cs="Times New Roman"/>
          <w:color w:val="000000"/>
          <w:sz w:val="20"/>
          <w:szCs w:val="20"/>
          <w:lang w:eastAsia="de-DE"/>
        </w:rPr>
        <w:tab/>
        <w:t>128, 0, 0</w:t>
      </w:r>
    </w:p>
    <w:p w14:paraId="2ED1551C"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I</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w</w:t>
      </w:r>
      <w:r w:rsidR="0000104D">
        <w:rPr>
          <w:rFonts w:ascii="Times New Roman" w:eastAsia="Times New Roman" w:hAnsi="Times New Roman" w:cs="Times New Roman"/>
          <w:i/>
          <w:color w:val="000000"/>
          <w:sz w:val="20"/>
          <w:szCs w:val="20"/>
          <w:lang w:eastAsia="de-DE"/>
        </w:rPr>
        <w:t>asgau</w:t>
      </w:r>
      <w:r w:rsidRPr="0073455F">
        <w:rPr>
          <w:rFonts w:ascii="Times New Roman" w:eastAsia="Times New Roman" w:hAnsi="Times New Roman" w:cs="Times New Roman"/>
          <w:i/>
          <w:color w:val="000000"/>
          <w:sz w:val="20"/>
          <w:szCs w:val="20"/>
          <w:lang w:eastAsia="de-DE"/>
        </w:rPr>
        <w:t>ensis</w:t>
      </w:r>
      <w:proofErr w:type="spellEnd"/>
      <w:r w:rsidRPr="00C00B39">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 xml:space="preserve">Gold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255, 215, 0</w:t>
      </w:r>
    </w:p>
    <w:p w14:paraId="2FBACD2B"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J</w:t>
      </w:r>
      <w:r w:rsidRPr="00C00B39">
        <w:rPr>
          <w:rFonts w:ascii="Times New Roman" w:eastAsia="Times New Roman" w:hAnsi="Times New Roman" w:cs="Times New Roman"/>
          <w:color w:val="000000"/>
          <w:sz w:val="20"/>
          <w:szCs w:val="20"/>
          <w:lang w:eastAsia="de-DE"/>
        </w:rPr>
        <w:tab/>
        <w:t xml:space="preserve">not herein described </w:t>
      </w:r>
      <w:r>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DarkGreen</w:t>
      </w:r>
      <w:proofErr w:type="spellEnd"/>
      <w:r w:rsidRPr="00C00B39">
        <w:rPr>
          <w:rFonts w:ascii="Times New Roman" w:eastAsia="Times New Roman" w:hAnsi="Times New Roman" w:cs="Times New Roman"/>
          <w:color w:val="000000"/>
          <w:sz w:val="20"/>
          <w:szCs w:val="20"/>
          <w:lang w:eastAsia="de-DE"/>
        </w:rPr>
        <w:tab/>
        <w:t>0, 100, 0</w:t>
      </w:r>
    </w:p>
    <w:p w14:paraId="2C5DB4BA"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KL</w:t>
      </w:r>
      <w:r w:rsidRPr="00C00B39">
        <w:rPr>
          <w:rFonts w:ascii="Times New Roman" w:eastAsia="Times New Roman" w:hAnsi="Times New Roman" w:cs="Times New Roman"/>
          <w:color w:val="000000"/>
          <w:sz w:val="20"/>
          <w:szCs w:val="20"/>
          <w:lang w:eastAsia="de-DE"/>
        </w:rPr>
        <w:tab/>
        <w:t>not herein described</w:t>
      </w:r>
      <w:r w:rsidRPr="00C00B39">
        <w:rPr>
          <w:rFonts w:ascii="Times New Roman" w:eastAsia="Times New Roman" w:hAnsi="Times New Roman" w:cs="Times New Roman"/>
          <w:color w:val="000000"/>
          <w:sz w:val="20"/>
          <w:szCs w:val="20"/>
          <w:lang w:eastAsia="de-DE"/>
        </w:rPr>
        <w:tab/>
        <w:t>Aqua</w:t>
      </w:r>
      <w:r w:rsidRPr="00C00B39">
        <w:rPr>
          <w:rFonts w:ascii="Times New Roman" w:eastAsia="Times New Roman" w:hAnsi="Times New Roman" w:cs="Times New Roman"/>
          <w:color w:val="000000"/>
          <w:sz w:val="20"/>
          <w:szCs w:val="20"/>
          <w:lang w:eastAsia="de-DE"/>
        </w:rPr>
        <w:tab/>
        <w:t>0, 255, 255</w:t>
      </w:r>
    </w:p>
    <w:p w14:paraId="21EB0FB3"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N</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normandiensis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proofErr w:type="spellStart"/>
      <w:r w:rsidRPr="00C00B39">
        <w:rPr>
          <w:rFonts w:ascii="Times New Roman" w:eastAsia="Times New Roman" w:hAnsi="Times New Roman" w:cs="Times New Roman"/>
          <w:color w:val="000000"/>
          <w:sz w:val="20"/>
          <w:szCs w:val="20"/>
          <w:lang w:eastAsia="de-DE"/>
        </w:rPr>
        <w:t>YellowGreen</w:t>
      </w:r>
      <w:proofErr w:type="spellEnd"/>
      <w:r w:rsidRPr="00C00B39">
        <w:rPr>
          <w:rFonts w:ascii="Times New Roman" w:eastAsia="Times New Roman" w:hAnsi="Times New Roman" w:cs="Times New Roman"/>
          <w:color w:val="000000"/>
          <w:sz w:val="20"/>
          <w:szCs w:val="20"/>
          <w:lang w:eastAsia="de-DE"/>
        </w:rPr>
        <w:tab/>
        <w:t>154, 205, 50</w:t>
      </w:r>
    </w:p>
    <w:p w14:paraId="51C60E7B"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R</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lotharingiensis</w:t>
      </w:r>
      <w:proofErr w:type="spellEnd"/>
      <w:r w:rsidRPr="003555E1">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Pink</w:t>
      </w:r>
      <w:r w:rsidRPr="00C00B39">
        <w:rPr>
          <w:rFonts w:ascii="Times New Roman" w:eastAsia="Times New Roman" w:hAnsi="Times New Roman" w:cs="Times New Roman"/>
          <w:color w:val="000000"/>
          <w:sz w:val="20"/>
          <w:szCs w:val="20"/>
          <w:lang w:eastAsia="de-DE"/>
        </w:rPr>
        <w:tab/>
        <w:t>255, 192, 203</w:t>
      </w:r>
    </w:p>
    <w:p w14:paraId="36267753" w14:textId="77777777" w:rsid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sidRPr="00C00B39">
        <w:rPr>
          <w:rFonts w:ascii="Times New Roman" w:eastAsia="Times New Roman" w:hAnsi="Times New Roman" w:cs="Times New Roman"/>
          <w:color w:val="000000"/>
          <w:sz w:val="20"/>
          <w:szCs w:val="20"/>
          <w:lang w:eastAsia="de-DE"/>
        </w:rPr>
        <w:t>S</w:t>
      </w:r>
      <w:r w:rsidRPr="00C00B39">
        <w:rPr>
          <w:rFonts w:ascii="Times New Roman" w:eastAsia="Times New Roman" w:hAnsi="Times New Roman" w:cs="Times New Roman"/>
          <w:color w:val="000000"/>
          <w:sz w:val="20"/>
          <w:szCs w:val="20"/>
          <w:lang w:eastAsia="de-DE"/>
        </w:rPr>
        <w:tab/>
      </w:r>
      <w:proofErr w:type="spellStart"/>
      <w:r w:rsidRPr="0073455F">
        <w:rPr>
          <w:rFonts w:ascii="Times New Roman" w:eastAsia="Times New Roman" w:hAnsi="Times New Roman" w:cs="Times New Roman"/>
          <w:i/>
          <w:color w:val="000000"/>
          <w:sz w:val="20"/>
          <w:szCs w:val="20"/>
          <w:lang w:eastAsia="de-DE"/>
        </w:rPr>
        <w:t>Niphargus</w:t>
      </w:r>
      <w:proofErr w:type="spellEnd"/>
      <w:r w:rsidRPr="0073455F">
        <w:rPr>
          <w:rFonts w:ascii="Times New Roman" w:eastAsia="Times New Roman" w:hAnsi="Times New Roman" w:cs="Times New Roman"/>
          <w:i/>
          <w:color w:val="000000"/>
          <w:sz w:val="20"/>
          <w:szCs w:val="20"/>
          <w:lang w:eastAsia="de-DE"/>
        </w:rPr>
        <w:t xml:space="preserve"> </w:t>
      </w:r>
      <w:proofErr w:type="spellStart"/>
      <w:r w:rsidRPr="0073455F">
        <w:rPr>
          <w:rFonts w:ascii="Times New Roman" w:eastAsia="Times New Roman" w:hAnsi="Times New Roman" w:cs="Times New Roman"/>
          <w:i/>
          <w:color w:val="000000"/>
          <w:sz w:val="20"/>
          <w:szCs w:val="20"/>
          <w:lang w:eastAsia="de-DE"/>
        </w:rPr>
        <w:t>schellenbergi</w:t>
      </w:r>
      <w:proofErr w:type="spellEnd"/>
      <w:r w:rsidRPr="00C00B39">
        <w:rPr>
          <w:rFonts w:ascii="Times New Roman" w:eastAsia="Times New Roman" w:hAnsi="Times New Roman" w:cs="Times New Roman"/>
          <w:color w:val="000000"/>
          <w:sz w:val="20"/>
          <w:szCs w:val="20"/>
          <w:lang w:eastAsia="de-DE"/>
        </w:rPr>
        <w:t xml:space="preserve"> </w:t>
      </w:r>
      <w:r>
        <w:rPr>
          <w:rFonts w:ascii="Times New Roman" w:eastAsia="Times New Roman" w:hAnsi="Times New Roman" w:cs="Times New Roman"/>
          <w:color w:val="000000"/>
          <w:sz w:val="20"/>
          <w:szCs w:val="20"/>
          <w:lang w:eastAsia="de-DE"/>
        </w:rPr>
        <w:tab/>
      </w:r>
      <w:r w:rsidRPr="00C00B39">
        <w:rPr>
          <w:rFonts w:ascii="Times New Roman" w:eastAsia="Times New Roman" w:hAnsi="Times New Roman" w:cs="Times New Roman"/>
          <w:color w:val="000000"/>
          <w:sz w:val="20"/>
          <w:szCs w:val="20"/>
          <w:lang w:eastAsia="de-DE"/>
        </w:rPr>
        <w:t>Red</w:t>
      </w:r>
      <w:r w:rsidRPr="00C00B39">
        <w:rPr>
          <w:rFonts w:ascii="Times New Roman" w:eastAsia="Times New Roman" w:hAnsi="Times New Roman" w:cs="Times New Roman"/>
          <w:color w:val="000000"/>
          <w:sz w:val="20"/>
          <w:szCs w:val="20"/>
          <w:lang w:eastAsia="de-DE"/>
        </w:rPr>
        <w:tab/>
        <w:t>255, 0, 0</w:t>
      </w:r>
    </w:p>
    <w:p w14:paraId="7CBC818B" w14:textId="77777777" w:rsid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p>
    <w:p w14:paraId="66C29BE4" w14:textId="77777777" w:rsidR="00C00B39" w:rsidRPr="00C00B39" w:rsidRDefault="00C00B39" w:rsidP="00C00B39">
      <w:pPr>
        <w:tabs>
          <w:tab w:val="left" w:pos="1701"/>
          <w:tab w:val="left" w:pos="4111"/>
          <w:tab w:val="left" w:pos="5670"/>
        </w:tabs>
        <w:spacing w:after="0" w:line="240" w:lineRule="auto"/>
        <w:rPr>
          <w:rFonts w:ascii="Times New Roman" w:eastAsia="Times New Roman" w:hAnsi="Times New Roman" w:cs="Times New Roman"/>
          <w:color w:val="000000"/>
          <w:sz w:val="20"/>
          <w:szCs w:val="20"/>
          <w:lang w:eastAsia="de-DE"/>
        </w:rPr>
      </w:pPr>
      <w:r>
        <w:rPr>
          <w:rFonts w:ascii="Times New Roman" w:eastAsia="Times New Roman" w:hAnsi="Times New Roman" w:cs="Times New Roman"/>
          <w:color w:val="000000"/>
          <w:sz w:val="20"/>
          <w:szCs w:val="20"/>
          <w:lang w:eastAsia="de-DE"/>
        </w:rPr>
        <w:t>References</w:t>
      </w:r>
    </w:p>
    <w:p w14:paraId="52E37755" w14:textId="77777777" w:rsidR="00C00B39" w:rsidRDefault="00C00B39"/>
    <w:p w14:paraId="7B65DB3B" w14:textId="77777777" w:rsidR="00C00B39" w:rsidRPr="00C00B39" w:rsidRDefault="00C00B39" w:rsidP="00C00B39">
      <w:pPr>
        <w:pStyle w:val="Bibliography"/>
        <w:rPr>
          <w:rFonts w:ascii="Calibri" w:hAnsi="Calibri" w:cs="Calibri"/>
        </w:rPr>
      </w:pPr>
      <w:r>
        <w:fldChar w:fldCharType="begin"/>
      </w:r>
      <w:r>
        <w:instrText xml:space="preserve"> ADDIN ZOTERO_BIBL {"uncited":[],"omitted":[],"custom":[]} CSL_BIBLIOGRAPHY </w:instrText>
      </w:r>
      <w:r>
        <w:fldChar w:fldCharType="separate"/>
      </w:r>
      <w:r w:rsidRPr="00C00B39">
        <w:rPr>
          <w:rFonts w:ascii="Calibri" w:hAnsi="Calibri" w:cs="Calibri"/>
        </w:rPr>
        <w:t xml:space="preserve">Grabner D., Weber D. &amp; Weigand A.M. 2020. Updates to the sporadic knowledge on microsporidian infections in groundwater amphipods (Crustacea, Amphipoda, Niphargidae). </w:t>
      </w:r>
      <w:r w:rsidRPr="00C00B39">
        <w:rPr>
          <w:rFonts w:ascii="Calibri" w:hAnsi="Calibri" w:cs="Calibri"/>
          <w:i/>
          <w:iCs/>
        </w:rPr>
        <w:t>Subterranean Biology</w:t>
      </w:r>
      <w:r w:rsidRPr="00C00B39">
        <w:rPr>
          <w:rFonts w:ascii="Calibri" w:hAnsi="Calibri" w:cs="Calibri"/>
        </w:rPr>
        <w:t xml:space="preserve"> 33: 71–85. https://doi.org/10.3897/subtbiol.33.48633</w:t>
      </w:r>
    </w:p>
    <w:p w14:paraId="0D986118" w14:textId="77777777" w:rsidR="00C00B39" w:rsidRPr="00C00B39" w:rsidRDefault="00C00B39" w:rsidP="00C00B39">
      <w:pPr>
        <w:pStyle w:val="Bibliography"/>
        <w:rPr>
          <w:rFonts w:ascii="Calibri" w:hAnsi="Calibri" w:cs="Calibri"/>
        </w:rPr>
      </w:pPr>
      <w:r w:rsidRPr="00C00B39">
        <w:rPr>
          <w:rFonts w:ascii="Calibri" w:hAnsi="Calibri" w:cs="Calibri"/>
        </w:rPr>
        <w:t xml:space="preserve">McInerney C.E., Maurice L., Robertson A.L., Knight L.R.F.D., Arnscheidt J., Venditti C., Dooley J.S.G., Mathers T., Matthijs S., Erikkson K., Proudlove G.S. &amp; Hänfling B. 2014. The Ancient Britons: Groundwater fauna survived extreme climate changes over tens of millions of years across NW Europe. </w:t>
      </w:r>
      <w:r w:rsidRPr="00C00B39">
        <w:rPr>
          <w:rFonts w:ascii="Calibri" w:hAnsi="Calibri" w:cs="Calibri"/>
          <w:i/>
          <w:iCs/>
        </w:rPr>
        <w:t>Molecular Ecology</w:t>
      </w:r>
      <w:r w:rsidRPr="00C00B39">
        <w:rPr>
          <w:rFonts w:ascii="Calibri" w:hAnsi="Calibri" w:cs="Calibri"/>
        </w:rPr>
        <w:t xml:space="preserve"> 23: 1153–1166. https://doi.org/10.1111/mec.12664</w:t>
      </w:r>
    </w:p>
    <w:p w14:paraId="29D19689" w14:textId="77777777" w:rsidR="00C00B39" w:rsidRPr="00C36864" w:rsidRDefault="00C00B39" w:rsidP="00C00B39">
      <w:pPr>
        <w:pStyle w:val="Bibliography"/>
        <w:rPr>
          <w:rFonts w:ascii="Calibri" w:hAnsi="Calibri" w:cs="Calibri"/>
          <w:lang w:val="nl-BE"/>
        </w:rPr>
      </w:pPr>
      <w:r w:rsidRPr="00C00B39">
        <w:rPr>
          <w:rFonts w:ascii="Calibri" w:hAnsi="Calibri" w:cs="Calibri"/>
        </w:rPr>
        <w:t xml:space="preserve">Weber D., Brad T., Weigand A. &amp; Flot J.-F. 2023. Water diviners multiplied: cryptic diversity in the </w:t>
      </w:r>
      <w:r w:rsidRPr="00C00B39">
        <w:rPr>
          <w:rFonts w:ascii="Calibri" w:hAnsi="Calibri" w:cs="Calibri"/>
          <w:i/>
          <w:iCs/>
        </w:rPr>
        <w:t>Niphargus aquilex</w:t>
      </w:r>
      <w:r w:rsidRPr="00C00B39">
        <w:rPr>
          <w:rFonts w:ascii="Calibri" w:hAnsi="Calibri" w:cs="Calibri"/>
        </w:rPr>
        <w:t xml:space="preserve"> species complex in Northern Europe. </w:t>
      </w:r>
      <w:r w:rsidRPr="00C36864">
        <w:rPr>
          <w:rFonts w:ascii="Calibri" w:hAnsi="Calibri" w:cs="Calibri"/>
          <w:lang w:val="nl-BE"/>
        </w:rPr>
        <w:t>Preprint: Zoology.</w:t>
      </w:r>
    </w:p>
    <w:p w14:paraId="6888BDD0" w14:textId="77777777" w:rsidR="00C00B39" w:rsidRPr="00C00B39" w:rsidRDefault="00C00B39" w:rsidP="00C00B39">
      <w:pPr>
        <w:pStyle w:val="Bibliography"/>
        <w:rPr>
          <w:rFonts w:ascii="Calibri" w:hAnsi="Calibri" w:cs="Calibri"/>
        </w:rPr>
      </w:pPr>
      <w:r w:rsidRPr="00C36864">
        <w:rPr>
          <w:rFonts w:ascii="Calibri" w:hAnsi="Calibri" w:cs="Calibri"/>
          <w:lang w:val="nl-BE"/>
        </w:rPr>
        <w:t xml:space="preserve">Weber D. &amp; Flot J.-F. 2020. Rote Liste und Gesamtartenliste der Grundwasserkrebse (Niphargidae) des Saarlandes. </w:t>
      </w:r>
      <w:r w:rsidRPr="00C36864">
        <w:rPr>
          <w:rFonts w:ascii="Calibri" w:hAnsi="Calibri" w:cs="Calibri"/>
          <w:i/>
          <w:iCs/>
          <w:lang w:val="nl-BE"/>
        </w:rPr>
        <w:t>In</w:t>
      </w:r>
      <w:r w:rsidRPr="00C36864">
        <w:rPr>
          <w:rFonts w:ascii="Calibri" w:hAnsi="Calibri" w:cs="Calibri"/>
          <w:lang w:val="nl-BE"/>
        </w:rPr>
        <w:t xml:space="preserve">: </w:t>
      </w:r>
      <w:r w:rsidRPr="00C36864">
        <w:rPr>
          <w:rFonts w:ascii="Calibri" w:hAnsi="Calibri" w:cs="Calibri"/>
          <w:i/>
          <w:iCs/>
          <w:lang w:val="nl-BE"/>
        </w:rPr>
        <w:t>Rote Liste gefährdeter Tiere und Pflanzen des Saarlandes, pdf-Ausgabe</w:t>
      </w:r>
      <w:r w:rsidRPr="00C36864">
        <w:rPr>
          <w:rFonts w:ascii="Calibri" w:hAnsi="Calibri" w:cs="Calibri"/>
          <w:lang w:val="nl-BE"/>
        </w:rPr>
        <w:t xml:space="preserve">: 3–9. </w:t>
      </w:r>
      <w:r w:rsidRPr="00C00B39">
        <w:rPr>
          <w:rFonts w:ascii="Calibri" w:hAnsi="Calibri" w:cs="Calibri"/>
        </w:rPr>
        <w:t>Saarbrücken und Landsweiler-Reden.</w:t>
      </w:r>
    </w:p>
    <w:p w14:paraId="60E6CFAB" w14:textId="77777777" w:rsidR="00C00B39" w:rsidRPr="00C00B39" w:rsidRDefault="00C00B39" w:rsidP="00C00B39">
      <w:pPr>
        <w:pStyle w:val="Bibliography"/>
        <w:rPr>
          <w:rFonts w:ascii="Calibri" w:hAnsi="Calibri" w:cs="Calibri"/>
        </w:rPr>
      </w:pPr>
      <w:r w:rsidRPr="00C00B39">
        <w:rPr>
          <w:rFonts w:ascii="Calibri" w:hAnsi="Calibri" w:cs="Calibri"/>
        </w:rPr>
        <w:t xml:space="preserve">Weber D., Flot J.-F., Frantz A.C. &amp; Weigand A.M. 2022. Molecular analyses of groundwater amphipods (Crustacea: Niphargidae) from Luxembourg: new species reveal limitations of morphology-based checklists. </w:t>
      </w:r>
      <w:r w:rsidRPr="00C00B39">
        <w:rPr>
          <w:rFonts w:ascii="Calibri" w:hAnsi="Calibri" w:cs="Calibri"/>
          <w:i/>
          <w:iCs/>
        </w:rPr>
        <w:t>Zootaxa</w:t>
      </w:r>
      <w:r w:rsidRPr="00C00B39">
        <w:rPr>
          <w:rFonts w:ascii="Calibri" w:hAnsi="Calibri" w:cs="Calibri"/>
        </w:rPr>
        <w:t xml:space="preserve"> 5222 (6): 501–533. https://doi.org/10.11646/zootaxa.5222.6.1</w:t>
      </w:r>
    </w:p>
    <w:p w14:paraId="11B9BDAC" w14:textId="77777777" w:rsidR="00C00B39" w:rsidRPr="00C00B39" w:rsidRDefault="00C00B39" w:rsidP="00C00B39">
      <w:pPr>
        <w:pStyle w:val="Bibliography"/>
        <w:rPr>
          <w:rFonts w:ascii="Calibri" w:hAnsi="Calibri" w:cs="Calibri"/>
        </w:rPr>
      </w:pPr>
      <w:r w:rsidRPr="00C00B39">
        <w:rPr>
          <w:rFonts w:ascii="Calibri" w:hAnsi="Calibri" w:cs="Calibri"/>
        </w:rPr>
        <w:t xml:space="preserve">Weber D. &amp; Weigand A.M. 2023. Groundwater Amphipods of the hyporheic interstitial: a case study from Luxembourg and the Greater Region. </w:t>
      </w:r>
      <w:r w:rsidRPr="00C00B39">
        <w:rPr>
          <w:rFonts w:ascii="Calibri" w:hAnsi="Calibri" w:cs="Calibri"/>
          <w:i/>
          <w:iCs/>
        </w:rPr>
        <w:t>Diversity</w:t>
      </w:r>
      <w:r w:rsidRPr="00C00B39">
        <w:rPr>
          <w:rFonts w:ascii="Calibri" w:hAnsi="Calibri" w:cs="Calibri"/>
        </w:rPr>
        <w:t xml:space="preserve"> 15 (3): 411. https://doi.org/10.3390/d15030411</w:t>
      </w:r>
    </w:p>
    <w:p w14:paraId="1DAE2E34" w14:textId="77777777" w:rsidR="00C00B39" w:rsidRDefault="00C00B39">
      <w:r>
        <w:fldChar w:fldCharType="end"/>
      </w:r>
    </w:p>
    <w:sectPr w:rsidR="00C00B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07"/>
    <w:rsid w:val="0000104D"/>
    <w:rsid w:val="003C1107"/>
    <w:rsid w:val="003C4A06"/>
    <w:rsid w:val="003E1AD0"/>
    <w:rsid w:val="0073455F"/>
    <w:rsid w:val="00902357"/>
    <w:rsid w:val="009B6AD9"/>
    <w:rsid w:val="00A7708C"/>
    <w:rsid w:val="00B15F94"/>
    <w:rsid w:val="00C00B39"/>
    <w:rsid w:val="00C36864"/>
    <w:rsid w:val="00D16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1EFC"/>
  <w15:chartTrackingRefBased/>
  <w15:docId w15:val="{6AD0A55A-31A9-4F9A-94A4-B4CC4BE7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0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C1107"/>
    <w:pPr>
      <w:spacing w:after="200" w:line="240" w:lineRule="auto"/>
    </w:pPr>
    <w:rPr>
      <w:sz w:val="20"/>
      <w:szCs w:val="20"/>
      <w:lang w:val="de-DE"/>
    </w:rPr>
  </w:style>
  <w:style w:type="character" w:customStyle="1" w:styleId="CommentTextChar">
    <w:name w:val="Comment Text Char"/>
    <w:basedOn w:val="DefaultParagraphFont"/>
    <w:link w:val="CommentText"/>
    <w:uiPriority w:val="99"/>
    <w:rsid w:val="003C1107"/>
    <w:rPr>
      <w:sz w:val="20"/>
      <w:szCs w:val="20"/>
    </w:rPr>
  </w:style>
  <w:style w:type="character" w:styleId="CommentReference">
    <w:name w:val="annotation reference"/>
    <w:basedOn w:val="DefaultParagraphFont"/>
    <w:uiPriority w:val="99"/>
    <w:semiHidden/>
    <w:unhideWhenUsed/>
    <w:rsid w:val="003C1107"/>
    <w:rPr>
      <w:sz w:val="16"/>
      <w:szCs w:val="16"/>
    </w:rPr>
  </w:style>
  <w:style w:type="paragraph" w:styleId="BalloonText">
    <w:name w:val="Balloon Text"/>
    <w:basedOn w:val="Normal"/>
    <w:link w:val="BalloonTextChar"/>
    <w:uiPriority w:val="99"/>
    <w:semiHidden/>
    <w:unhideWhenUsed/>
    <w:rsid w:val="003C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107"/>
    <w:rPr>
      <w:rFonts w:ascii="Segoe UI" w:hAnsi="Segoe UI" w:cs="Segoe UI"/>
      <w:sz w:val="18"/>
      <w:szCs w:val="18"/>
      <w:lang w:val="en-GB"/>
    </w:rPr>
  </w:style>
  <w:style w:type="character" w:styleId="Hyperlink">
    <w:name w:val="Hyperlink"/>
    <w:basedOn w:val="DefaultParagraphFont"/>
    <w:uiPriority w:val="99"/>
    <w:unhideWhenUsed/>
    <w:rsid w:val="00C00B39"/>
    <w:rPr>
      <w:color w:val="0563C1" w:themeColor="hyperlink"/>
      <w:u w:val="single"/>
    </w:rPr>
  </w:style>
  <w:style w:type="paragraph" w:styleId="Bibliography">
    <w:name w:val="Bibliography"/>
    <w:basedOn w:val="Normal"/>
    <w:next w:val="Normal"/>
    <w:uiPriority w:val="37"/>
    <w:unhideWhenUsed/>
    <w:rsid w:val="00C00B39"/>
    <w:pPr>
      <w:spacing w:after="240" w:line="240" w:lineRule="auto"/>
      <w:ind w:left="720" w:hanging="720"/>
    </w:pPr>
  </w:style>
  <w:style w:type="paragraph" w:customStyle="1" w:styleId="NormalEJTstylesMaintext">
    <w:name w:val="Normal (EJT styles:Main text)"/>
    <w:basedOn w:val="Normal"/>
    <w:uiPriority w:val="99"/>
    <w:rsid w:val="003C4A06"/>
    <w:pPr>
      <w:suppressAutoHyphens/>
      <w:autoSpaceDE w:val="0"/>
      <w:autoSpaceDN w:val="0"/>
      <w:adjustRightInd w:val="0"/>
      <w:spacing w:after="227" w:line="288" w:lineRule="auto"/>
      <w:jc w:val="both"/>
      <w:textAlignment w:val="center"/>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3schools.com/colors/colors_name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3297</Words>
  <Characters>18797</Characters>
  <Application>Microsoft Office Word</Application>
  <DocSecurity>0</DocSecurity>
  <Lines>156</Lines>
  <Paragraphs>44</Paragraphs>
  <ScaleCrop>false</ScaleCrop>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Weber</dc:creator>
  <cp:keywords/>
  <dc:description/>
  <cp:lastModifiedBy>Kristiaan Hoedemakers</cp:lastModifiedBy>
  <cp:revision>2</cp:revision>
  <dcterms:created xsi:type="dcterms:W3CDTF">2025-08-21T09:43:00Z</dcterms:created>
  <dcterms:modified xsi:type="dcterms:W3CDTF">2025-08-21T09:43:00Z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id="9rgItAA5"/&gt;&lt;style id="http://www.zotero.org/styles/european-journal-of-taxonomy" hasBibliography="1" bibliographyStyleHasBeenSet="1"/&gt;&lt;prefs&gt;&lt;pref name="fieldType" value="Field"/&gt;&lt;/prefs&gt;&lt;/data&gt;</vt:lpwstr>
  </property>
</Properties>
</file>