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5FD5" w14:textId="77777777" w:rsidR="003C4A06" w:rsidRDefault="003C4A06" w:rsidP="003C4A06">
      <w:pPr>
        <w:pStyle w:val="NormalEJTstylesMaintext"/>
      </w:pPr>
      <w:r>
        <w:t>https://doi.org/10.5852/ejt.2025.1011.3023.13557</w:t>
      </w:r>
    </w:p>
    <w:p w14:paraId="248E5BB5" w14:textId="77A9A377" w:rsidR="003C1107" w:rsidRPr="003C1107" w:rsidRDefault="003C1107" w:rsidP="003C1107">
      <w:pPr>
        <w:spacing w:line="360" w:lineRule="auto"/>
        <w:rPr>
          <w:rFonts w:ascii="Times New Roman" w:hAnsi="Times New Roman" w:cs="Times New Roman"/>
          <w:b/>
          <w:sz w:val="28"/>
          <w:szCs w:val="28"/>
        </w:rPr>
      </w:pPr>
      <w:r w:rsidRPr="0016446E">
        <w:rPr>
          <w:rFonts w:ascii="Times New Roman" w:hAnsi="Times New Roman" w:cs="Times New Roman"/>
          <w:b/>
          <w:sz w:val="28"/>
          <w:szCs w:val="28"/>
        </w:rPr>
        <w:t>Supplement</w:t>
      </w:r>
      <w:r w:rsidR="00C00B39">
        <w:rPr>
          <w:rFonts w:ascii="Times New Roman" w:hAnsi="Times New Roman" w:cs="Times New Roman"/>
          <w:b/>
          <w:sz w:val="28"/>
          <w:szCs w:val="28"/>
        </w:rPr>
        <w:t>a</w:t>
      </w:r>
      <w:r w:rsidRPr="0016446E">
        <w:rPr>
          <w:rFonts w:ascii="Times New Roman" w:hAnsi="Times New Roman" w:cs="Times New Roman"/>
          <w:b/>
          <w:sz w:val="28"/>
          <w:szCs w:val="28"/>
        </w:rPr>
        <w:t xml:space="preserve">ry material </w:t>
      </w:r>
      <w:r w:rsidR="00B15F94">
        <w:rPr>
          <w:rFonts w:ascii="Times New Roman" w:hAnsi="Times New Roman" w:cs="Times New Roman"/>
          <w:b/>
          <w:sz w:val="28"/>
          <w:szCs w:val="28"/>
        </w:rPr>
        <w:t>2A</w:t>
      </w:r>
      <w:r w:rsidRPr="0016446E">
        <w:rPr>
          <w:rFonts w:ascii="Times New Roman" w:hAnsi="Times New Roman" w:cs="Times New Roman"/>
          <w:b/>
          <w:sz w:val="28"/>
          <w:szCs w:val="28"/>
        </w:rPr>
        <w:t xml:space="preserve">: </w:t>
      </w:r>
      <w:r w:rsidRPr="003C1107">
        <w:rPr>
          <w:rFonts w:ascii="Times New Roman" w:hAnsi="Times New Roman" w:cs="Times New Roman"/>
          <w:b/>
          <w:sz w:val="28"/>
          <w:szCs w:val="28"/>
        </w:rPr>
        <w:t>Already published abbreviations of existing or newly described species. The "Region" line shows which region the corresponding publication is about.</w:t>
      </w:r>
    </w:p>
    <w:tbl>
      <w:tblPr>
        <w:tblW w:w="8923" w:type="dxa"/>
        <w:tblLayout w:type="fixed"/>
        <w:tblLook w:val="04A0" w:firstRow="1" w:lastRow="0" w:firstColumn="1" w:lastColumn="0" w:noHBand="0" w:noVBand="1"/>
      </w:tblPr>
      <w:tblGrid>
        <w:gridCol w:w="1616"/>
        <w:gridCol w:w="1217"/>
        <w:gridCol w:w="1017"/>
        <w:gridCol w:w="1015"/>
        <w:gridCol w:w="978"/>
        <w:gridCol w:w="1019"/>
        <w:gridCol w:w="980"/>
        <w:gridCol w:w="1081"/>
      </w:tblGrid>
      <w:tr w:rsidR="003C1107" w:rsidRPr="00DC7D8F" w14:paraId="3E69E3CE" w14:textId="77777777" w:rsidTr="00632AF3">
        <w:tc>
          <w:tcPr>
            <w:tcW w:w="1616" w:type="dxa"/>
          </w:tcPr>
          <w:p w14:paraId="0460E694"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New name</w:t>
            </w:r>
          </w:p>
        </w:tc>
        <w:tc>
          <w:tcPr>
            <w:tcW w:w="1217" w:type="dxa"/>
          </w:tcPr>
          <w:p w14:paraId="147A7B9C"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fldChar w:fldCharType="begin"/>
            </w:r>
            <w:r>
              <w:rPr>
                <w:rFonts w:ascii="Times New Roman" w:eastAsia="Times New Roman" w:hAnsi="Times New Roman" w:cs="Times New Roman"/>
                <w:color w:val="000000"/>
                <w:sz w:val="20"/>
                <w:szCs w:val="20"/>
                <w:lang w:eastAsia="de-DE"/>
              </w:rPr>
              <w:instrText xml:space="preserve"> ADDIN ZOTERO_ITEM CSL_CITATION {"citationID":"JoEwMNxp","properties":{"custom":"{\\scaps McInerney} et al. (2014)","formattedCitation":"{\\scaps McInerney} et 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expansion. Phylogenetic diversity and species age are highest in Northwest Europe suggesting resilience to extreme climate change, and strongly contrasting the patterns seen in surface fauna.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DC7D8F">
              <w:rPr>
                <w:rFonts w:ascii="Times New Roman" w:eastAsia="Times New Roman" w:hAnsi="Times New Roman" w:cs="Times New Roman"/>
                <w:color w:val="000000"/>
                <w:sz w:val="20"/>
                <w:szCs w:val="20"/>
                <w:lang w:eastAsia="de-DE"/>
              </w:rPr>
              <w:fldChar w:fldCharType="separate"/>
            </w:r>
            <w:r w:rsidRPr="0062405E">
              <w:rPr>
                <w:rFonts w:ascii="Times New Roman" w:hAnsi="Times New Roman" w:cs="Times New Roman"/>
                <w:smallCaps/>
                <w:sz w:val="20"/>
                <w:szCs w:val="24"/>
              </w:rPr>
              <w:t>McInerney</w:t>
            </w:r>
            <w:r w:rsidRPr="0062405E">
              <w:rPr>
                <w:rFonts w:ascii="Times New Roman" w:hAnsi="Times New Roman" w:cs="Times New Roman"/>
                <w:sz w:val="20"/>
                <w:szCs w:val="24"/>
              </w:rPr>
              <w:t xml:space="preserve"> et al. (2014)</w:t>
            </w:r>
            <w:r w:rsidRPr="00DC7D8F">
              <w:rPr>
                <w:rFonts w:ascii="Times New Roman" w:eastAsia="Times New Roman" w:hAnsi="Times New Roman" w:cs="Times New Roman"/>
                <w:color w:val="000000"/>
                <w:sz w:val="20"/>
                <w:szCs w:val="20"/>
                <w:lang w:eastAsia="de-DE"/>
              </w:rPr>
              <w:fldChar w:fldCharType="end"/>
            </w:r>
          </w:p>
        </w:tc>
        <w:tc>
          <w:tcPr>
            <w:tcW w:w="1017" w:type="dxa"/>
          </w:tcPr>
          <w:p w14:paraId="39E4B9DB"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fldChar w:fldCharType="begin"/>
            </w:r>
            <w:r>
              <w:rPr>
                <w:rFonts w:ascii="Times New Roman" w:eastAsia="Times New Roman" w:hAnsi="Times New Roman" w:cs="Times New Roman"/>
                <w:color w:val="000000"/>
                <w:sz w:val="20"/>
                <w:szCs w:val="20"/>
                <w:lang w:eastAsia="de-DE"/>
              </w:rPr>
              <w:instrText xml:space="preserve"> ADDIN ZOTERO_ITEM CSL_CITATION {"citationID":"X6ViWHbC","properties":{"custom":"{\\scaps Grabner} et al. (2020)","formattedCitation":"{\\scaps Grabner} et al. (2020)","plainCitation":"Grabner et al. (2020)","noteIndex":0},"citationItems":[{"id":1727,"uris":["http://zotero.org/users/local/snSnCIR8/items/UIKXXJ4R",["http://zotero.org/users/local/snSnCIR8/items/UIKXXJ4R"]],"itemData":{"id":1727,"type":"article-journal","abstract":"A set of 69 specimens from 19 groundwater species of the genera\n              Niphargus\n              ,\n              Niphargellus\n              ,\n              Microniphargus\n              and\n              Crangonyx\n              was genetically screened for microsporidian infections. Samples mostly originated from groundwater-dependent spring environments (71%), natural caves (9%) and artificial caverns/tunnels (13%). Amphipod hosts were identified by morphology and/or molecular data, whereas microsporidian parasites were characterised by a genetic screening assay targeting a section of the small subunit rRNA gene.\n            \n            \n              Five microsporidian species (\n              Dictyocoela duebenum\n              ;\n              Nosema\n              sp.;\n              Hyperspora aquatica\n              and two undescribed\n              Microsporidium\n              spp.) were revealed from 13 host specimens (\n              Niphargus schellenbergi\n              ;\n              N. aquilex\n              lineages B, F and G;\n              Niphargellus arndti\n              ). In particular\n              N. schellenbergi\n              was frequently infected with\n              D. duebenum\n              as well as a new and potentially niphargid-specific\n              Nosema\n              sp. identified in\n              Niphargellus arndti\n              .\n            \n            Our results shed further light on the still largely unknown diversity and specificity of microsporidian parasites in groundwater amphipods and subterranean animals in general.","container-title":"Subterranean Biology","DOI":"10.3897/subtbiol.33.48633","ISSN":"1314-2615, 1768-1448","page":"71-85","source":"DOI.org (Crossref)","title":"Updates to the sporadic knowledge on microsporidian infections in groundwater amphipods (Crustacea, Amphipoda, Niphargidae)","volume":"33","author":[{"family":"Grabner","given":"Daniel"},{"family":"Weber","given":"Dieter"},{"family":"Weigand","given":"Alexander M."}],"issued":{"date-parts":[["2020",2,13]]}}}],"schema":"https://github.com/citation-style-language/schema/raw/master/csl-citation.json"} </w:instrText>
            </w:r>
            <w:r w:rsidRPr="00DC7D8F">
              <w:rPr>
                <w:rFonts w:ascii="Times New Roman" w:eastAsia="Times New Roman" w:hAnsi="Times New Roman" w:cs="Times New Roman"/>
                <w:color w:val="000000"/>
                <w:sz w:val="20"/>
                <w:szCs w:val="20"/>
                <w:lang w:eastAsia="de-DE"/>
              </w:rPr>
              <w:fldChar w:fldCharType="separate"/>
            </w:r>
            <w:r w:rsidRPr="0062405E">
              <w:rPr>
                <w:rFonts w:ascii="Times New Roman" w:hAnsi="Times New Roman" w:cs="Times New Roman"/>
                <w:smallCaps/>
                <w:sz w:val="20"/>
                <w:szCs w:val="24"/>
              </w:rPr>
              <w:t>Grabner</w:t>
            </w:r>
            <w:r w:rsidRPr="0062405E">
              <w:rPr>
                <w:rFonts w:ascii="Times New Roman" w:hAnsi="Times New Roman" w:cs="Times New Roman"/>
                <w:sz w:val="20"/>
                <w:szCs w:val="24"/>
              </w:rPr>
              <w:t xml:space="preserve"> et al. (2020)</w:t>
            </w:r>
            <w:r w:rsidRPr="00DC7D8F">
              <w:rPr>
                <w:rFonts w:ascii="Times New Roman" w:eastAsia="Times New Roman" w:hAnsi="Times New Roman" w:cs="Times New Roman"/>
                <w:color w:val="000000"/>
                <w:sz w:val="20"/>
                <w:szCs w:val="20"/>
                <w:lang w:eastAsia="de-DE"/>
              </w:rPr>
              <w:fldChar w:fldCharType="end"/>
            </w:r>
          </w:p>
        </w:tc>
        <w:tc>
          <w:tcPr>
            <w:tcW w:w="1015" w:type="dxa"/>
          </w:tcPr>
          <w:p w14:paraId="16BAEA84"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fldChar w:fldCharType="begin"/>
            </w:r>
            <w:r>
              <w:rPr>
                <w:rFonts w:ascii="Times New Roman" w:eastAsia="Times New Roman" w:hAnsi="Times New Roman" w:cs="Times New Roman"/>
                <w:color w:val="000000"/>
                <w:sz w:val="20"/>
                <w:szCs w:val="20"/>
                <w:lang w:eastAsia="de-DE"/>
              </w:rPr>
              <w:instrText xml:space="preserve"> ADDIN ZOTERO_ITEM CSL_CITATION {"citationID":"uTpcuP9b","properties":{"custom":"{\\scaps Weber} &amp; {\\scaps Flot} (2020)","formattedCitation":"{\\scaps Weber} &amp; {\\scaps Flot} (2020)","plainCitation":"Weber &amp; Flot (2020)","noteIndex":0},"citationItems":[{"id":1779,"uris":["http://zotero.org/users/local/snSnCIR8/items/HZVHHLAA"],"itemData":{"id":1779,"type":"chapter","container-title":"Rote Liste gefährdeter Tiere und Pflanzen des Saarlandes, pdf-Ausgabe","event-place":"Saarbrücken und Landsweiler-Reden","page":"3-9","publisher-place":"Saarbrücken und Landsweiler-Reden","title":"Rote Liste und Gesamtartenliste der Grundwasserkrebse (Niphargidae) des Saarlandes","URL":"https://rote-liste-saarland.de/wp-content/uploads/2020/10/SL-255-RL-Grundwasserkrebse_PDF_Version-2020.pdf","author":[{"family":"Weber","given":"Dieter"},{"family":"Flot","given":"Jean-François"}],"issued":{"date-parts":[["2020"]]}}}],"schema":"https://github.com/citation-style-language/schema/raw/master/csl-citation.json"} </w:instrText>
            </w:r>
            <w:r w:rsidRPr="00DC7D8F">
              <w:rPr>
                <w:rFonts w:ascii="Times New Roman" w:eastAsia="Times New Roman" w:hAnsi="Times New Roman" w:cs="Times New Roman"/>
                <w:color w:val="000000"/>
                <w:sz w:val="20"/>
                <w:szCs w:val="20"/>
                <w:lang w:eastAsia="de-DE"/>
              </w:rPr>
              <w:fldChar w:fldCharType="separate"/>
            </w:r>
            <w:r w:rsidRPr="0062405E">
              <w:rPr>
                <w:rFonts w:ascii="Times New Roman" w:hAnsi="Times New Roman" w:cs="Times New Roman"/>
                <w:smallCaps/>
                <w:sz w:val="20"/>
                <w:szCs w:val="24"/>
              </w:rPr>
              <w:t>Weber</w:t>
            </w:r>
            <w:r w:rsidRPr="0062405E">
              <w:rPr>
                <w:rFonts w:ascii="Times New Roman" w:hAnsi="Times New Roman" w:cs="Times New Roman"/>
                <w:sz w:val="20"/>
                <w:szCs w:val="24"/>
              </w:rPr>
              <w:t xml:space="preserve"> &amp; </w:t>
            </w:r>
            <w:r w:rsidRPr="0062405E">
              <w:rPr>
                <w:rFonts w:ascii="Times New Roman" w:hAnsi="Times New Roman" w:cs="Times New Roman"/>
                <w:smallCaps/>
                <w:sz w:val="20"/>
                <w:szCs w:val="24"/>
              </w:rPr>
              <w:t>Flot</w:t>
            </w:r>
            <w:r w:rsidRPr="0062405E">
              <w:rPr>
                <w:rFonts w:ascii="Times New Roman" w:hAnsi="Times New Roman" w:cs="Times New Roman"/>
                <w:sz w:val="20"/>
                <w:szCs w:val="24"/>
              </w:rPr>
              <w:t xml:space="preserve"> (2020)</w:t>
            </w:r>
            <w:r w:rsidRPr="00DC7D8F">
              <w:rPr>
                <w:rFonts w:ascii="Times New Roman" w:eastAsia="Times New Roman" w:hAnsi="Times New Roman" w:cs="Times New Roman"/>
                <w:color w:val="000000"/>
                <w:sz w:val="20"/>
                <w:szCs w:val="20"/>
                <w:lang w:eastAsia="de-DE"/>
              </w:rPr>
              <w:fldChar w:fldCharType="end"/>
            </w:r>
          </w:p>
        </w:tc>
        <w:tc>
          <w:tcPr>
            <w:tcW w:w="978" w:type="dxa"/>
          </w:tcPr>
          <w:p w14:paraId="1BC38945"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fldChar w:fldCharType="begin"/>
            </w:r>
            <w:r>
              <w:rPr>
                <w:rFonts w:ascii="Times New Roman" w:eastAsia="Times New Roman" w:hAnsi="Times New Roman" w:cs="Times New Roman"/>
                <w:color w:val="000000"/>
                <w:sz w:val="20"/>
                <w:szCs w:val="20"/>
                <w:lang w:eastAsia="de-DE"/>
              </w:rPr>
              <w:instrText xml:space="preserve"> ADDIN ZOTERO_ITEM CSL_CITATION {"citationID":"TWUh3eRg","properties":{"custom":"{\\scaps Weber} et al. (2022)","formattedCitation":"{\\scaps Weber} et al. (2022)","plainCitation":"Weber et al. (2022)","noteIndex":0},"citationItems":[{"id":2042,"uris":["http://zotero.org/users/local/snSnCIR8/items/VIZ8P98J"],"itemData":{"id":2042,"type":"article-journal","abstract":"Niphargus amphipods were collected from 2007 to 2018 at 98 sites comprising artificial caverns, springs and interstitial waters in the Grand Duchy of Luxembourg. Opportunistic sampling was combined with passive trapping. Specimen identification was achieved using morphological keys and molecular data. Initial morphological determination and literature data suggested five species, whereas sequencing of fragments of the mitochondrial cytochrome c oxidase subunit 1 gene and nuclear 28S rDNA marker supported the presence of seven species: Niphargus schellenbergi, Niphargus puteanus, Niphargus fontanus, one species of the Niphargus kochianus complex, and three species of the Niphargus aquilex complex. Niphargus schellenbergi was by far the most abundant and widespread species. Limited overlap was observed between literature-based records, our initial morphological determinations based on classical taxonomic characters, and genetic sequence data. In general, the combination of phenotypically variable taxa, such as N. schellenbergi, and cryptic or near-cryptic species, as in the N. aquilex complex, renders morphological identification of niphargids from Luxembourg a challenging or even impossible task. DNA taxonomy will therefore have to be used in future studies of the fauna of this region.","container-title":"Zootaxa","DOI":"10.11646/zootaxa.5222.6.1","ISSN":"1175-5334, 1175-5326","issue":"6","journalAbbreviation":"Zootaxa","page":"501-533","source":"DOI.org (Crossref)","title":"Molecular analyses of groundwater amphipods (Crustacea: Niphargidae) from Luxembourg: new species reveal limitations of morphology-based checklists","title-short":"Molecular analyses of groundwater amphipods (Crustacea","volume":"5222","author":[{"family":"Weber","given":"Dieter"},{"family":"Flot","given":"Jean-François"},{"family":"Frantz","given":"Alain C."},{"family":"Weigand","given":"Alexander M."}],"issued":{"date-parts":[["2022",12,23]]}}}],"schema":"https://github.com/citation-style-language/schema/raw/master/csl-citation.json"} </w:instrText>
            </w:r>
            <w:r w:rsidRPr="00DC7D8F">
              <w:rPr>
                <w:rFonts w:ascii="Times New Roman" w:eastAsia="Times New Roman" w:hAnsi="Times New Roman" w:cs="Times New Roman"/>
                <w:color w:val="000000"/>
                <w:sz w:val="20"/>
                <w:szCs w:val="20"/>
                <w:lang w:eastAsia="de-DE"/>
              </w:rPr>
              <w:fldChar w:fldCharType="separate"/>
            </w:r>
            <w:r w:rsidRPr="0062405E">
              <w:rPr>
                <w:rFonts w:ascii="Times New Roman" w:hAnsi="Times New Roman" w:cs="Times New Roman"/>
                <w:smallCaps/>
                <w:sz w:val="20"/>
                <w:szCs w:val="24"/>
              </w:rPr>
              <w:t>Weber</w:t>
            </w:r>
            <w:r w:rsidRPr="0062405E">
              <w:rPr>
                <w:rFonts w:ascii="Times New Roman" w:hAnsi="Times New Roman" w:cs="Times New Roman"/>
                <w:sz w:val="20"/>
                <w:szCs w:val="24"/>
              </w:rPr>
              <w:t xml:space="preserve"> et al. (2022)</w:t>
            </w:r>
            <w:r w:rsidRPr="00DC7D8F">
              <w:rPr>
                <w:rFonts w:ascii="Times New Roman" w:eastAsia="Times New Roman" w:hAnsi="Times New Roman" w:cs="Times New Roman"/>
                <w:color w:val="000000"/>
                <w:sz w:val="20"/>
                <w:szCs w:val="20"/>
                <w:lang w:eastAsia="de-DE"/>
              </w:rPr>
              <w:fldChar w:fldCharType="end"/>
            </w:r>
          </w:p>
        </w:tc>
        <w:tc>
          <w:tcPr>
            <w:tcW w:w="1019" w:type="dxa"/>
          </w:tcPr>
          <w:p w14:paraId="3775E233"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fldChar w:fldCharType="begin"/>
            </w:r>
            <w:r>
              <w:rPr>
                <w:rFonts w:ascii="Times New Roman" w:eastAsia="Times New Roman" w:hAnsi="Times New Roman" w:cs="Times New Roman"/>
                <w:color w:val="000000"/>
                <w:sz w:val="20"/>
                <w:szCs w:val="20"/>
                <w:lang w:eastAsia="de-DE"/>
              </w:rPr>
              <w:instrText xml:space="preserve"> ADDIN ZOTERO_ITEM CSL_CITATION {"citationID":"DYRxy1yg","properties":{"custom":"{\\scaps Weber} &amp; {\\scaps Weigand} (2023)","formattedCitation":"{\\scaps Weber} &amp; {\\scaps Weigand} (2023)","plainCitation":"Weber &amp; Weigand (2023)","noteIndex":0},"citationItems":[{"id":2110,"uris":["http://zotero.org/users/local/snSnCIR8/items/MRKPQBXR"],"itemData":{"id":2110,"type":"article-journal","abstract":"Hyporheic interstitials are ecologically dynamic and often neglected aquatic environments. In this study, groundwater amphipods (Niphargidae, Pseudoniphargidae and Crangonyctidae) were sampled in hyporheic interstitials throughout Luxembourg and The Greater Region and specimens were analyzed by DNA barcoding. Sites characterized by gravel or coarse sand and high flow velocities of incoming water were the most species- and specimen-rich. A total of 11 species were detected, of which the Niphargus aquilex lineage EF of the N. aquilex cryptic species complex and juveniles of N. schellenbergi dominated the data set, but an unknown lineage of the N. aquilex-complex was also found. Some regions appeared to be devoid of groundwater amphipods. We hypothesize that underlying sandstone formations resulting in low sediment porosity may prevent physical colonization, but also that historical water pollution may have a long-lasting effect, either through the persistence of contaminants in the sediment or low recolonization rates of affected populations. In summary, our approach expanded regional species inventories, confirmed known occurrences, and validated previously questionable or historical morphology-based detections. In addition, the collection of absence data provided valuable insights into local extinctions. Finally, DNA-based distribution data are needed to gather information on the ecological affinities of groundwater amphipods to understudied hyporheic interstitial environments.","container-title":"Diversity","DOI":"10.3390/d15030411","ISSN":"1424-2818","issue":"3","journalAbbreviation":"Diversity","language":"en","page":"411","source":"DOI.org (Crossref)","title":"Groundwater Amphipods of the hyporheic interstitial: a case study from Luxembourg and the Greater Region","title-short":"Groundwater Amphipods of the Hyporheic Interstitial","volume":"15","author":[{"family":"Weber","given":"Dieter"},{"family":"Weigand","given":"Alexander M."}],"issued":{"date-parts":[["2023",3,11]]}}}],"schema":"https://github.com/citation-style-language/schema/raw/master/csl-citation.json"} </w:instrText>
            </w:r>
            <w:r w:rsidRPr="00DC7D8F">
              <w:rPr>
                <w:rFonts w:ascii="Times New Roman" w:eastAsia="Times New Roman" w:hAnsi="Times New Roman" w:cs="Times New Roman"/>
                <w:color w:val="000000"/>
                <w:sz w:val="20"/>
                <w:szCs w:val="20"/>
                <w:lang w:eastAsia="de-DE"/>
              </w:rPr>
              <w:fldChar w:fldCharType="separate"/>
            </w:r>
            <w:r w:rsidRPr="0062405E">
              <w:rPr>
                <w:rFonts w:ascii="Times New Roman" w:hAnsi="Times New Roman" w:cs="Times New Roman"/>
                <w:smallCaps/>
                <w:sz w:val="20"/>
                <w:szCs w:val="24"/>
              </w:rPr>
              <w:t>Weber</w:t>
            </w:r>
            <w:r w:rsidRPr="0062405E">
              <w:rPr>
                <w:rFonts w:ascii="Times New Roman" w:hAnsi="Times New Roman" w:cs="Times New Roman"/>
                <w:sz w:val="20"/>
                <w:szCs w:val="24"/>
              </w:rPr>
              <w:t xml:space="preserve"> &amp; </w:t>
            </w:r>
            <w:r w:rsidRPr="0062405E">
              <w:rPr>
                <w:rFonts w:ascii="Times New Roman" w:hAnsi="Times New Roman" w:cs="Times New Roman"/>
                <w:smallCaps/>
                <w:sz w:val="20"/>
                <w:szCs w:val="24"/>
              </w:rPr>
              <w:t>Weigand</w:t>
            </w:r>
            <w:r w:rsidRPr="0062405E">
              <w:rPr>
                <w:rFonts w:ascii="Times New Roman" w:hAnsi="Times New Roman" w:cs="Times New Roman"/>
                <w:sz w:val="20"/>
                <w:szCs w:val="24"/>
              </w:rPr>
              <w:t xml:space="preserve"> (2023)</w:t>
            </w:r>
            <w:r w:rsidRPr="00DC7D8F">
              <w:rPr>
                <w:rFonts w:ascii="Times New Roman" w:eastAsia="Times New Roman" w:hAnsi="Times New Roman" w:cs="Times New Roman"/>
                <w:color w:val="000000"/>
                <w:sz w:val="20"/>
                <w:szCs w:val="20"/>
                <w:lang w:eastAsia="de-DE"/>
              </w:rPr>
              <w:fldChar w:fldCharType="end"/>
            </w:r>
          </w:p>
        </w:tc>
        <w:tc>
          <w:tcPr>
            <w:tcW w:w="980" w:type="dxa"/>
          </w:tcPr>
          <w:p w14:paraId="407398F7"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fldChar w:fldCharType="begin"/>
            </w:r>
            <w:r>
              <w:rPr>
                <w:rFonts w:ascii="Times New Roman" w:eastAsia="Times New Roman" w:hAnsi="Times New Roman" w:cs="Times New Roman"/>
                <w:color w:val="000000"/>
                <w:sz w:val="20"/>
                <w:szCs w:val="20"/>
                <w:lang w:eastAsia="de-DE"/>
              </w:rPr>
              <w:instrText xml:space="preserve"> ADDIN ZOTERO_ITEM CSL_CITATION {"citationID":"3M2IXl1J","properties":{"custom":"{\\scaps Weber} et al. (2023)","formattedCitation":"{\\scaps Weber} et al. (2023)","plainCitation":"Weber et al. (2023)","noteIndex":0},"citationItems":[{"id":2112,"uris":["http://zotero.org/users/local/snSnCIR8/items/H5PPP9WK"],"itemData":{"id":2112,"type":"report","abstract":"As for many other groups, patterns of biodiversity for subter-ranean crustaceans in Europe indicate larger morphospecies ranges at higher latitudes (the so-called Rapoport effect). However, this observed correlation may be artefactual if many of those high-latitude, widely distributed morphospecies are actually species complexes. To test this hypothesis, we looked for previously undetected species boundaries within\n            Niphargus aquilex\n            and\n            Niphargus schellenbergi\n            , two closely related morphospecies of groundwater amphipods widely distributed in northern Europe, by sequencing fragments of the mitochondrial cytochrome\n            c\n            oxidase subunit I gene (COI) and of the nuclear 28S ribosomal RNA gene of 198 individuals collected across their area of distribution. Distance-based and allele sharing-based species delimitation approaches were congruent in revealing the existence of at least eight species within\n            N. aquilex\n            and at least two species with\n            N. schellenbergi\n            . Our data demonstrate that these two common morphospecies with large ranges are actually complexes of species with narrower distributions, suggesting that the Rapoport effect might be the result of increased morphological stasis at high latitudes rather than actual differences in sizes of distribution ranges.","genre":"preprint","language":"en","note":"DOI: 10.1101/2023.08.13.553147","publisher":"Zoology","source":"DOI.org (Crossref)","title":"Water diviners multiplied: cryptic diversity in the &lt;i&gt;Niphargus aquilex&lt;/i&gt; species complex in Northern Europe","title-short":"Water diviners multiplied","URL":"http://biorxiv.org/lookup/doi/10.1101/2023.08.13.553147","author":[{"family":"Weber","given":"Dieter"},{"family":"Brad","given":"Traian"},{"family":"Weigand","given":"Alexander"},{"family":"Flot","given":"Jean-François"}],"accessed":{"date-parts":[["2023",9,26]]},"issued":{"date-parts":[["2023",8,15]]}}}],"schema":"https://github.com/citation-style-language/schema/raw/master/csl-citation.json"} </w:instrText>
            </w:r>
            <w:r w:rsidRPr="00DC7D8F">
              <w:rPr>
                <w:rFonts w:ascii="Times New Roman" w:eastAsia="Times New Roman" w:hAnsi="Times New Roman" w:cs="Times New Roman"/>
                <w:color w:val="000000"/>
                <w:sz w:val="20"/>
                <w:szCs w:val="20"/>
                <w:lang w:eastAsia="de-DE"/>
              </w:rPr>
              <w:fldChar w:fldCharType="separate"/>
            </w:r>
            <w:r w:rsidRPr="0062405E">
              <w:rPr>
                <w:rFonts w:ascii="Times New Roman" w:hAnsi="Times New Roman" w:cs="Times New Roman"/>
                <w:smallCaps/>
                <w:sz w:val="20"/>
                <w:szCs w:val="24"/>
              </w:rPr>
              <w:t>Weber</w:t>
            </w:r>
            <w:r w:rsidRPr="0062405E">
              <w:rPr>
                <w:rFonts w:ascii="Times New Roman" w:hAnsi="Times New Roman" w:cs="Times New Roman"/>
                <w:sz w:val="20"/>
                <w:szCs w:val="24"/>
              </w:rPr>
              <w:t xml:space="preserve"> et al. (2023)</w:t>
            </w:r>
            <w:r w:rsidRPr="00DC7D8F">
              <w:rPr>
                <w:rFonts w:ascii="Times New Roman" w:eastAsia="Times New Roman" w:hAnsi="Times New Roman" w:cs="Times New Roman"/>
                <w:color w:val="000000"/>
                <w:sz w:val="20"/>
                <w:szCs w:val="20"/>
                <w:lang w:eastAsia="de-DE"/>
              </w:rPr>
              <w:fldChar w:fldCharType="end"/>
            </w:r>
          </w:p>
        </w:tc>
        <w:tc>
          <w:tcPr>
            <w:tcW w:w="1081" w:type="dxa"/>
          </w:tcPr>
          <w:p w14:paraId="2DC01EC9" w14:textId="77777777" w:rsidR="003C1107" w:rsidRPr="00DC7D8F" w:rsidRDefault="003C1107" w:rsidP="00632AF3">
            <w:pPr>
              <w:spacing w:line="240" w:lineRule="auto"/>
              <w:rPr>
                <w:rFonts w:ascii="Times New Roman" w:eastAsia="Times New Roman" w:hAnsi="Times New Roman" w:cs="Times New Roman"/>
                <w:color w:val="000000"/>
                <w:sz w:val="20"/>
                <w:szCs w:val="20"/>
                <w:lang w:eastAsia="de-DE"/>
              </w:rPr>
            </w:pPr>
            <w:r w:rsidRPr="00C36864">
              <w:rPr>
                <w:rFonts w:ascii="Times New Roman" w:eastAsia="Times New Roman" w:hAnsi="Times New Roman" w:cs="Times New Roman"/>
                <w:color w:val="000000"/>
                <w:sz w:val="20"/>
                <w:szCs w:val="20"/>
                <w:lang w:val="nl-BE" w:eastAsia="de-DE"/>
              </w:rPr>
              <w:t xml:space="preserve">colours in </w:t>
            </w:r>
            <w:r w:rsidRPr="00DC7D8F">
              <w:rPr>
                <w:rFonts w:ascii="Times New Roman" w:eastAsia="Times New Roman" w:hAnsi="Times New Roman" w:cs="Times New Roman"/>
                <w:color w:val="000000"/>
                <w:sz w:val="20"/>
                <w:szCs w:val="20"/>
                <w:lang w:eastAsia="de-DE"/>
              </w:rPr>
              <w:fldChar w:fldCharType="begin"/>
            </w:r>
            <w:r w:rsidRPr="00C36864">
              <w:rPr>
                <w:rFonts w:ascii="Times New Roman" w:eastAsia="Times New Roman" w:hAnsi="Times New Roman" w:cs="Times New Roman"/>
                <w:color w:val="000000"/>
                <w:sz w:val="20"/>
                <w:szCs w:val="20"/>
                <w:lang w:val="nl-BE" w:eastAsia="de-DE"/>
              </w:rPr>
              <w:instrText xml:space="preserve"> ADDIN ZOTERO_ITEM CSL_CITATION {"citationID":"BNElc7vG","properties":{"custom":"{\\scaps Weber} et al. (2023)","formattedCitation":"{\\scaps Weber} et al. (2023)","plainCitation":"Weber et al. (2023)","noteIndex":0},"citationItems":[{"id":2112,"uris":["http://zotero.org/users/local/snSnCIR8/items/H5PPP9WK"],"itemData":{"id":2112,"type":"report","abstract":"As for many other groups, patterns of biodiversity for subter-ranean crustaceans in Europe indicate larger morphospecies ranges at higher latitudes (the so-called Rapoport effect). However, this observed correlation may be artefactual if many of those high-latitude, widely distributed morphospecies are actually species complexes. To test this hypothesis, we looked for previously undetected species boundaries within\n            Niphargus aquilex\n            and\n            Niphargus schellenbergi\n            , two closely related morphospecies of groundwater amphipods widely distributed in northern Europe, by sequencing fragments of the mitochondrial cytochrome\n            c\n            oxidase subunit I gene (COI) and of the nuclear 28S ribosomal RNA gene of 198 individuals collected across their area of distribution. Distance-based and allele sharing-based species delimitation approaches were congruent in revealing the existence of at least eight species within\n            N. aquilex\n            and at least two species with\n            N. schellenbergi\n            . Our data demonstrate that these two common morphospecies with large ranges are actually complexes of species with narrower distributions, suggesting that the Rapoport effect might be the result of increased morphological stasis at high latitudes rather than actual differences in sizes of distribution ranges.","genre":"preprint","language":"en","note":"DOI: 10.1101/2023.08.13.553147","publisher":"Zoology","source":"DOI.org (Crossref)","title":"Water diviners multiplied: cryptic diversity in the &lt;i&gt;Niphargus aquilex&lt;/i&gt; species complex in Northern Europe","title-short":"Water diviners multiplied","URL":"http://biorxiv.org/lookup/doi/10.1101/2023.08.13.553147","author":[{"family":"Weber","given":"Dieter"},{"family":"Brad","given":"Traian"},{"family":"Weigand","given":"Alexander"},{"family":"Flot","given":"Jean-François"}],"accessed":{"date-parts":[["2023",9,26]]},"issued":{"date-parts":[["2023",8,15]]}}}],"schema":"https://github.com/citation-style-language/schema/raw/master/csl-citation.json"} </w:instrText>
            </w:r>
            <w:r w:rsidRPr="00DC7D8F">
              <w:rPr>
                <w:rFonts w:ascii="Times New Roman" w:eastAsia="Times New Roman" w:hAnsi="Times New Roman" w:cs="Times New Roman"/>
                <w:color w:val="000000"/>
                <w:sz w:val="20"/>
                <w:szCs w:val="20"/>
                <w:lang w:eastAsia="de-DE"/>
              </w:rPr>
              <w:fldChar w:fldCharType="separate"/>
            </w:r>
            <w:r w:rsidRPr="00C36864">
              <w:rPr>
                <w:rFonts w:ascii="Times New Roman" w:hAnsi="Times New Roman" w:cs="Times New Roman"/>
                <w:smallCaps/>
                <w:sz w:val="20"/>
                <w:szCs w:val="24"/>
                <w:lang w:val="nl-BE"/>
              </w:rPr>
              <w:t>Weber</w:t>
            </w:r>
            <w:r w:rsidRPr="00C36864">
              <w:rPr>
                <w:rFonts w:ascii="Times New Roman" w:hAnsi="Times New Roman" w:cs="Times New Roman"/>
                <w:sz w:val="20"/>
                <w:szCs w:val="24"/>
                <w:lang w:val="nl-BE"/>
              </w:rPr>
              <w:t xml:space="preserve"> et al. </w:t>
            </w:r>
            <w:r w:rsidRPr="0062405E">
              <w:rPr>
                <w:rFonts w:ascii="Times New Roman" w:hAnsi="Times New Roman" w:cs="Times New Roman"/>
                <w:sz w:val="20"/>
                <w:szCs w:val="24"/>
              </w:rPr>
              <w:t>(2023)</w:t>
            </w:r>
            <w:r w:rsidRPr="00DC7D8F">
              <w:rPr>
                <w:rFonts w:ascii="Times New Roman" w:eastAsia="Times New Roman" w:hAnsi="Times New Roman" w:cs="Times New Roman"/>
                <w:color w:val="000000"/>
                <w:sz w:val="20"/>
                <w:szCs w:val="20"/>
                <w:lang w:eastAsia="de-DE"/>
              </w:rPr>
              <w:fldChar w:fldCharType="end"/>
            </w:r>
          </w:p>
        </w:tc>
      </w:tr>
      <w:tr w:rsidR="003C1107" w:rsidRPr="00DC7D8F" w14:paraId="2D6D88DF" w14:textId="77777777" w:rsidTr="00632AF3">
        <w:tc>
          <w:tcPr>
            <w:tcW w:w="1616" w:type="dxa"/>
          </w:tcPr>
          <w:p w14:paraId="7F55270E"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Region</w:t>
            </w:r>
          </w:p>
        </w:tc>
        <w:tc>
          <w:tcPr>
            <w:tcW w:w="1217" w:type="dxa"/>
          </w:tcPr>
          <w:p w14:paraId="00C84065"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Europe</w:t>
            </w:r>
          </w:p>
        </w:tc>
        <w:tc>
          <w:tcPr>
            <w:tcW w:w="1017" w:type="dxa"/>
          </w:tcPr>
          <w:p w14:paraId="1D5B235B"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Europe</w:t>
            </w:r>
          </w:p>
        </w:tc>
        <w:tc>
          <w:tcPr>
            <w:tcW w:w="1015" w:type="dxa"/>
          </w:tcPr>
          <w:p w14:paraId="4C682A88"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Saarland</w:t>
            </w:r>
          </w:p>
        </w:tc>
        <w:tc>
          <w:tcPr>
            <w:tcW w:w="978" w:type="dxa"/>
          </w:tcPr>
          <w:p w14:paraId="53348BE5"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Luxem-bourg</w:t>
            </w:r>
          </w:p>
        </w:tc>
        <w:tc>
          <w:tcPr>
            <w:tcW w:w="1019" w:type="dxa"/>
          </w:tcPr>
          <w:p w14:paraId="21E7A251"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Greater Luxem-bourg</w:t>
            </w:r>
          </w:p>
        </w:tc>
        <w:tc>
          <w:tcPr>
            <w:tcW w:w="980" w:type="dxa"/>
          </w:tcPr>
          <w:p w14:paraId="4E4AB3E6"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Europe</w:t>
            </w:r>
          </w:p>
        </w:tc>
        <w:tc>
          <w:tcPr>
            <w:tcW w:w="1081" w:type="dxa"/>
          </w:tcPr>
          <w:p w14:paraId="22E45A6B"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Europe</w:t>
            </w:r>
          </w:p>
        </w:tc>
      </w:tr>
      <w:tr w:rsidR="003C1107" w:rsidRPr="00DC7D8F" w14:paraId="2BDF1831" w14:textId="77777777" w:rsidTr="00632AF3">
        <w:tc>
          <w:tcPr>
            <w:tcW w:w="1616" w:type="dxa"/>
          </w:tcPr>
          <w:p w14:paraId="5E28B039" w14:textId="77777777" w:rsidR="003C1107" w:rsidRPr="00DC7D8F" w:rsidRDefault="003C1107" w:rsidP="00632AF3">
            <w:pPr>
              <w:spacing w:after="0" w:line="240" w:lineRule="auto"/>
              <w:rPr>
                <w:rFonts w:ascii="Times New Roman" w:eastAsia="Times New Roman" w:hAnsi="Times New Roman" w:cs="Times New Roman"/>
                <w:i/>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i/>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aquilex</w:t>
            </w:r>
            <w:proofErr w:type="spellEnd"/>
            <w:r w:rsidRPr="00DC7D8F">
              <w:rPr>
                <w:rFonts w:ascii="Times New Roman" w:eastAsia="Times New Roman" w:hAnsi="Times New Roman" w:cs="Times New Roman"/>
                <w:i/>
                <w:color w:val="000000"/>
                <w:sz w:val="20"/>
                <w:szCs w:val="20"/>
                <w:lang w:eastAsia="de-DE"/>
              </w:rPr>
              <w:t xml:space="preserve"> </w:t>
            </w:r>
          </w:p>
        </w:tc>
        <w:tc>
          <w:tcPr>
            <w:tcW w:w="1217" w:type="dxa"/>
          </w:tcPr>
          <w:p w14:paraId="59FD530C"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B</w:t>
            </w:r>
          </w:p>
        </w:tc>
        <w:tc>
          <w:tcPr>
            <w:tcW w:w="1017" w:type="dxa"/>
          </w:tcPr>
          <w:p w14:paraId="6667D31E"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5" w:type="dxa"/>
          </w:tcPr>
          <w:p w14:paraId="381B04FC"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978" w:type="dxa"/>
          </w:tcPr>
          <w:p w14:paraId="7F9AFE47"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B</w:t>
            </w:r>
          </w:p>
        </w:tc>
        <w:tc>
          <w:tcPr>
            <w:tcW w:w="1019" w:type="dxa"/>
          </w:tcPr>
          <w:p w14:paraId="7819D59D"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B</w:t>
            </w:r>
          </w:p>
        </w:tc>
        <w:tc>
          <w:tcPr>
            <w:tcW w:w="980" w:type="dxa"/>
          </w:tcPr>
          <w:p w14:paraId="1224D090"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B</w:t>
            </w:r>
          </w:p>
        </w:tc>
        <w:tc>
          <w:tcPr>
            <w:tcW w:w="1081" w:type="dxa"/>
          </w:tcPr>
          <w:p w14:paraId="2961E6C7"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blue-grey</w:t>
            </w:r>
          </w:p>
        </w:tc>
      </w:tr>
      <w:tr w:rsidR="003C1107" w:rsidRPr="00DC7D8F" w14:paraId="1253C0B7" w14:textId="77777777" w:rsidTr="00632AF3">
        <w:tc>
          <w:tcPr>
            <w:tcW w:w="1616" w:type="dxa"/>
          </w:tcPr>
          <w:p w14:paraId="28AFD69C"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palatinensis</w:t>
            </w:r>
            <w:proofErr w:type="spellEnd"/>
            <w:r w:rsidRPr="00DC7D8F">
              <w:rPr>
                <w:rFonts w:ascii="Times New Roman" w:eastAsia="Times New Roman" w:hAnsi="Times New Roman" w:cs="Times New Roman"/>
                <w:color w:val="000000"/>
                <w:sz w:val="20"/>
                <w:szCs w:val="20"/>
                <w:lang w:eastAsia="de-DE"/>
              </w:rPr>
              <w:t xml:space="preserve"> sp. </w:t>
            </w:r>
            <w:proofErr w:type="spellStart"/>
            <w:r w:rsidRPr="00DC7D8F">
              <w:rPr>
                <w:rFonts w:ascii="Times New Roman" w:eastAsia="Times New Roman" w:hAnsi="Times New Roman" w:cs="Times New Roman"/>
                <w:color w:val="000000"/>
                <w:sz w:val="20"/>
                <w:szCs w:val="20"/>
                <w:lang w:eastAsia="de-DE"/>
              </w:rPr>
              <w:t>nov.</w:t>
            </w:r>
            <w:proofErr w:type="spellEnd"/>
          </w:p>
        </w:tc>
        <w:tc>
          <w:tcPr>
            <w:tcW w:w="1217" w:type="dxa"/>
          </w:tcPr>
          <w:p w14:paraId="7CC8EB18"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A</w:t>
            </w:r>
          </w:p>
        </w:tc>
        <w:tc>
          <w:tcPr>
            <w:tcW w:w="1017" w:type="dxa"/>
          </w:tcPr>
          <w:p w14:paraId="42F00269"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5" w:type="dxa"/>
          </w:tcPr>
          <w:p w14:paraId="0C995861"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A</w:t>
            </w:r>
          </w:p>
        </w:tc>
        <w:tc>
          <w:tcPr>
            <w:tcW w:w="978" w:type="dxa"/>
          </w:tcPr>
          <w:p w14:paraId="71E039BB"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A</w:t>
            </w:r>
          </w:p>
        </w:tc>
        <w:tc>
          <w:tcPr>
            <w:tcW w:w="1019" w:type="dxa"/>
          </w:tcPr>
          <w:p w14:paraId="4213B97D"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A</w:t>
            </w:r>
          </w:p>
        </w:tc>
        <w:tc>
          <w:tcPr>
            <w:tcW w:w="980" w:type="dxa"/>
          </w:tcPr>
          <w:p w14:paraId="09BFC24F"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A</w:t>
            </w:r>
          </w:p>
        </w:tc>
        <w:tc>
          <w:tcPr>
            <w:tcW w:w="1081" w:type="dxa"/>
          </w:tcPr>
          <w:p w14:paraId="1C8E18A2"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purple</w:t>
            </w:r>
          </w:p>
        </w:tc>
      </w:tr>
      <w:tr w:rsidR="003C1107" w:rsidRPr="00DC7D8F" w14:paraId="5AF47A57" w14:textId="77777777" w:rsidTr="00632AF3">
        <w:tc>
          <w:tcPr>
            <w:tcW w:w="1616" w:type="dxa"/>
          </w:tcPr>
          <w:p w14:paraId="3214F95C"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w</w:t>
            </w:r>
            <w:r w:rsidR="0000104D">
              <w:rPr>
                <w:rFonts w:ascii="Times New Roman" w:eastAsia="Times New Roman" w:hAnsi="Times New Roman" w:cs="Times New Roman"/>
                <w:i/>
                <w:color w:val="000000"/>
                <w:sz w:val="20"/>
                <w:szCs w:val="20"/>
                <w:lang w:eastAsia="de-DE"/>
              </w:rPr>
              <w:t>asgau</w:t>
            </w:r>
            <w:r w:rsidRPr="00DC7D8F">
              <w:rPr>
                <w:rFonts w:ascii="Times New Roman" w:eastAsia="Times New Roman" w:hAnsi="Times New Roman" w:cs="Times New Roman"/>
                <w:i/>
                <w:color w:val="000000"/>
                <w:sz w:val="20"/>
                <w:szCs w:val="20"/>
                <w:lang w:eastAsia="de-DE"/>
              </w:rPr>
              <w:t>ensis</w:t>
            </w:r>
            <w:proofErr w:type="spellEnd"/>
            <w:r w:rsidRPr="00DC7D8F">
              <w:rPr>
                <w:rFonts w:ascii="Times New Roman" w:eastAsia="Times New Roman" w:hAnsi="Times New Roman" w:cs="Times New Roman"/>
                <w:color w:val="000000"/>
                <w:sz w:val="20"/>
                <w:szCs w:val="20"/>
                <w:lang w:eastAsia="de-DE"/>
              </w:rPr>
              <w:t xml:space="preserve"> sp. </w:t>
            </w:r>
            <w:proofErr w:type="spellStart"/>
            <w:r w:rsidRPr="00DC7D8F">
              <w:rPr>
                <w:rFonts w:ascii="Times New Roman" w:eastAsia="Times New Roman" w:hAnsi="Times New Roman" w:cs="Times New Roman"/>
                <w:color w:val="000000"/>
                <w:sz w:val="20"/>
                <w:szCs w:val="20"/>
                <w:lang w:eastAsia="de-DE"/>
              </w:rPr>
              <w:t>nov.</w:t>
            </w:r>
            <w:proofErr w:type="spellEnd"/>
          </w:p>
        </w:tc>
        <w:tc>
          <w:tcPr>
            <w:tcW w:w="1217" w:type="dxa"/>
          </w:tcPr>
          <w:p w14:paraId="69AEFFD5"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7" w:type="dxa"/>
          </w:tcPr>
          <w:p w14:paraId="79997E2B"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I</w:t>
            </w:r>
          </w:p>
        </w:tc>
        <w:tc>
          <w:tcPr>
            <w:tcW w:w="1015" w:type="dxa"/>
          </w:tcPr>
          <w:p w14:paraId="108A3820"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B1</w:t>
            </w:r>
          </w:p>
        </w:tc>
        <w:tc>
          <w:tcPr>
            <w:tcW w:w="978" w:type="dxa"/>
          </w:tcPr>
          <w:p w14:paraId="2197EAE2"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9" w:type="dxa"/>
          </w:tcPr>
          <w:p w14:paraId="5C1AAFF9"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I</w:t>
            </w:r>
          </w:p>
        </w:tc>
        <w:tc>
          <w:tcPr>
            <w:tcW w:w="980" w:type="dxa"/>
          </w:tcPr>
          <w:p w14:paraId="06DDD56D"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I</w:t>
            </w:r>
          </w:p>
        </w:tc>
        <w:tc>
          <w:tcPr>
            <w:tcW w:w="1081" w:type="dxa"/>
          </w:tcPr>
          <w:p w14:paraId="075174A4"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yellow</w:t>
            </w:r>
          </w:p>
        </w:tc>
      </w:tr>
      <w:tr w:rsidR="003C1107" w:rsidRPr="00DC7D8F" w14:paraId="4915C0D5" w14:textId="77777777" w:rsidTr="00632AF3">
        <w:tc>
          <w:tcPr>
            <w:tcW w:w="1616" w:type="dxa"/>
          </w:tcPr>
          <w:p w14:paraId="70062F5F"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normandiensis</w:t>
            </w:r>
            <w:proofErr w:type="spellEnd"/>
            <w:r w:rsidRPr="00DC7D8F">
              <w:rPr>
                <w:rFonts w:ascii="Times New Roman" w:eastAsia="Times New Roman" w:hAnsi="Times New Roman" w:cs="Times New Roman"/>
                <w:color w:val="000000"/>
                <w:sz w:val="20"/>
                <w:szCs w:val="20"/>
                <w:lang w:eastAsia="de-DE"/>
              </w:rPr>
              <w:t xml:space="preserve"> sp. </w:t>
            </w:r>
            <w:proofErr w:type="spellStart"/>
            <w:r w:rsidRPr="00DC7D8F">
              <w:rPr>
                <w:rFonts w:ascii="Times New Roman" w:eastAsia="Times New Roman" w:hAnsi="Times New Roman" w:cs="Times New Roman"/>
                <w:color w:val="000000"/>
                <w:sz w:val="20"/>
                <w:szCs w:val="20"/>
                <w:lang w:eastAsia="de-DE"/>
              </w:rPr>
              <w:t>nov.</w:t>
            </w:r>
            <w:proofErr w:type="spellEnd"/>
          </w:p>
        </w:tc>
        <w:tc>
          <w:tcPr>
            <w:tcW w:w="1217" w:type="dxa"/>
          </w:tcPr>
          <w:p w14:paraId="38545290"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D</w:t>
            </w:r>
          </w:p>
        </w:tc>
        <w:tc>
          <w:tcPr>
            <w:tcW w:w="1017" w:type="dxa"/>
          </w:tcPr>
          <w:p w14:paraId="15F02C51"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M</w:t>
            </w:r>
          </w:p>
        </w:tc>
        <w:tc>
          <w:tcPr>
            <w:tcW w:w="1015" w:type="dxa"/>
          </w:tcPr>
          <w:p w14:paraId="39E0D646"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978" w:type="dxa"/>
          </w:tcPr>
          <w:p w14:paraId="018913C6"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9" w:type="dxa"/>
          </w:tcPr>
          <w:p w14:paraId="02C84C54"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980" w:type="dxa"/>
          </w:tcPr>
          <w:p w14:paraId="5924EB3C"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 xml:space="preserve">D, </w:t>
            </w:r>
            <w:r w:rsidRPr="00DC7D8F">
              <w:rPr>
                <w:rFonts w:ascii="Times New Roman" w:eastAsia="Times New Roman" w:hAnsi="Times New Roman" w:cs="Times New Roman"/>
                <w:color w:val="000000"/>
                <w:sz w:val="20"/>
                <w:szCs w:val="20"/>
                <w:lang w:eastAsia="de-DE"/>
              </w:rPr>
              <w:t>N</w:t>
            </w:r>
          </w:p>
        </w:tc>
        <w:tc>
          <w:tcPr>
            <w:tcW w:w="1081" w:type="dxa"/>
          </w:tcPr>
          <w:p w14:paraId="78615563"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green, yellow-green</w:t>
            </w:r>
          </w:p>
        </w:tc>
      </w:tr>
      <w:tr w:rsidR="003C1107" w:rsidRPr="00DC7D8F" w14:paraId="26555600" w14:textId="77777777" w:rsidTr="00632AF3">
        <w:tc>
          <w:tcPr>
            <w:tcW w:w="1616" w:type="dxa"/>
          </w:tcPr>
          <w:p w14:paraId="62938D9C"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saraviensis</w:t>
            </w:r>
            <w:proofErr w:type="spellEnd"/>
            <w:r w:rsidRPr="00DC7D8F">
              <w:rPr>
                <w:rFonts w:ascii="Times New Roman" w:eastAsia="Times New Roman" w:hAnsi="Times New Roman" w:cs="Times New Roman"/>
                <w:color w:val="000000"/>
                <w:sz w:val="20"/>
                <w:szCs w:val="20"/>
                <w:lang w:eastAsia="de-DE"/>
              </w:rPr>
              <w:t xml:space="preserve"> sp. </w:t>
            </w:r>
            <w:proofErr w:type="spellStart"/>
            <w:r w:rsidRPr="00DC7D8F">
              <w:rPr>
                <w:rFonts w:ascii="Times New Roman" w:eastAsia="Times New Roman" w:hAnsi="Times New Roman" w:cs="Times New Roman"/>
                <w:color w:val="000000"/>
                <w:sz w:val="20"/>
                <w:szCs w:val="20"/>
                <w:lang w:eastAsia="de-DE"/>
              </w:rPr>
              <w:t>nov.</w:t>
            </w:r>
            <w:proofErr w:type="spellEnd"/>
          </w:p>
        </w:tc>
        <w:tc>
          <w:tcPr>
            <w:tcW w:w="1217" w:type="dxa"/>
          </w:tcPr>
          <w:p w14:paraId="51AC7888"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7" w:type="dxa"/>
          </w:tcPr>
          <w:p w14:paraId="6098D198"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G</w:t>
            </w:r>
          </w:p>
        </w:tc>
        <w:tc>
          <w:tcPr>
            <w:tcW w:w="1015" w:type="dxa"/>
          </w:tcPr>
          <w:p w14:paraId="61ADAC67"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1</w:t>
            </w:r>
          </w:p>
        </w:tc>
        <w:tc>
          <w:tcPr>
            <w:tcW w:w="978" w:type="dxa"/>
          </w:tcPr>
          <w:p w14:paraId="5EBBD2BE"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G</w:t>
            </w:r>
          </w:p>
        </w:tc>
        <w:tc>
          <w:tcPr>
            <w:tcW w:w="1019" w:type="dxa"/>
          </w:tcPr>
          <w:p w14:paraId="6690AF5E"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G</w:t>
            </w:r>
          </w:p>
        </w:tc>
        <w:tc>
          <w:tcPr>
            <w:tcW w:w="980" w:type="dxa"/>
          </w:tcPr>
          <w:p w14:paraId="57A49C03"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G</w:t>
            </w:r>
          </w:p>
        </w:tc>
        <w:tc>
          <w:tcPr>
            <w:tcW w:w="1081" w:type="dxa"/>
          </w:tcPr>
          <w:p w14:paraId="61020A63"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blue</w:t>
            </w:r>
          </w:p>
        </w:tc>
      </w:tr>
      <w:tr w:rsidR="003C1107" w:rsidRPr="00DC7D8F" w14:paraId="22C850E3" w14:textId="77777777" w:rsidTr="00632AF3">
        <w:tc>
          <w:tcPr>
            <w:tcW w:w="1616" w:type="dxa"/>
          </w:tcPr>
          <w:p w14:paraId="32D11644"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luxemburgensis</w:t>
            </w:r>
            <w:proofErr w:type="spellEnd"/>
            <w:r w:rsidRPr="00DC7D8F">
              <w:rPr>
                <w:rFonts w:ascii="Times New Roman" w:eastAsia="Times New Roman" w:hAnsi="Times New Roman" w:cs="Times New Roman"/>
                <w:color w:val="000000"/>
                <w:sz w:val="20"/>
                <w:szCs w:val="20"/>
                <w:lang w:eastAsia="de-DE"/>
              </w:rPr>
              <w:t xml:space="preserve"> sp. </w:t>
            </w:r>
            <w:proofErr w:type="spellStart"/>
            <w:r w:rsidRPr="00DC7D8F">
              <w:rPr>
                <w:rFonts w:ascii="Times New Roman" w:eastAsia="Times New Roman" w:hAnsi="Times New Roman" w:cs="Times New Roman"/>
                <w:color w:val="000000"/>
                <w:sz w:val="20"/>
                <w:szCs w:val="20"/>
                <w:lang w:eastAsia="de-DE"/>
              </w:rPr>
              <w:t>nov.</w:t>
            </w:r>
            <w:proofErr w:type="spellEnd"/>
          </w:p>
        </w:tc>
        <w:tc>
          <w:tcPr>
            <w:tcW w:w="1217" w:type="dxa"/>
          </w:tcPr>
          <w:p w14:paraId="1A50077F"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F</w:t>
            </w:r>
          </w:p>
        </w:tc>
        <w:tc>
          <w:tcPr>
            <w:tcW w:w="1017" w:type="dxa"/>
          </w:tcPr>
          <w:p w14:paraId="0B3C4FFB"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5" w:type="dxa"/>
          </w:tcPr>
          <w:p w14:paraId="23D5168B"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F</w:t>
            </w:r>
          </w:p>
        </w:tc>
        <w:tc>
          <w:tcPr>
            <w:tcW w:w="978" w:type="dxa"/>
          </w:tcPr>
          <w:p w14:paraId="40CE9B7A"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EF</w:t>
            </w:r>
          </w:p>
        </w:tc>
        <w:tc>
          <w:tcPr>
            <w:tcW w:w="1019" w:type="dxa"/>
          </w:tcPr>
          <w:p w14:paraId="512F6E03"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EF</w:t>
            </w:r>
          </w:p>
        </w:tc>
        <w:tc>
          <w:tcPr>
            <w:tcW w:w="980" w:type="dxa"/>
          </w:tcPr>
          <w:p w14:paraId="239C4900"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F, F'</w:t>
            </w:r>
          </w:p>
        </w:tc>
        <w:tc>
          <w:tcPr>
            <w:tcW w:w="1081" w:type="dxa"/>
          </w:tcPr>
          <w:p w14:paraId="3DA94BA8"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orange, pale red</w:t>
            </w:r>
          </w:p>
        </w:tc>
      </w:tr>
      <w:tr w:rsidR="003C1107" w:rsidRPr="00DC7D8F" w14:paraId="3CBC94A7" w14:textId="77777777" w:rsidTr="00632AF3">
        <w:tc>
          <w:tcPr>
            <w:tcW w:w="1616" w:type="dxa"/>
          </w:tcPr>
          <w:p w14:paraId="79D3DAAB"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lotharingiensis</w:t>
            </w:r>
            <w:proofErr w:type="spellEnd"/>
            <w:r w:rsidRPr="00DC7D8F">
              <w:rPr>
                <w:rFonts w:ascii="Times New Roman" w:eastAsia="Times New Roman" w:hAnsi="Times New Roman" w:cs="Times New Roman"/>
                <w:color w:val="000000"/>
                <w:sz w:val="20"/>
                <w:szCs w:val="20"/>
                <w:lang w:eastAsia="de-DE"/>
              </w:rPr>
              <w:t xml:space="preserve"> sp. </w:t>
            </w:r>
            <w:proofErr w:type="spellStart"/>
            <w:r w:rsidRPr="00DC7D8F">
              <w:rPr>
                <w:rFonts w:ascii="Times New Roman" w:eastAsia="Times New Roman" w:hAnsi="Times New Roman" w:cs="Times New Roman"/>
                <w:color w:val="000000"/>
                <w:sz w:val="20"/>
                <w:szCs w:val="20"/>
                <w:lang w:eastAsia="de-DE"/>
              </w:rPr>
              <w:t>nov.</w:t>
            </w:r>
            <w:proofErr w:type="spellEnd"/>
          </w:p>
        </w:tc>
        <w:tc>
          <w:tcPr>
            <w:tcW w:w="1217" w:type="dxa"/>
          </w:tcPr>
          <w:p w14:paraId="4F78D9E4"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7" w:type="dxa"/>
          </w:tcPr>
          <w:p w14:paraId="6A4BDEC3"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5" w:type="dxa"/>
          </w:tcPr>
          <w:p w14:paraId="7BADBDFF"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978" w:type="dxa"/>
          </w:tcPr>
          <w:p w14:paraId="535ED3B3"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9" w:type="dxa"/>
          </w:tcPr>
          <w:p w14:paraId="77EC61CD"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980" w:type="dxa"/>
          </w:tcPr>
          <w:p w14:paraId="4270E544"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R, R*</w:t>
            </w:r>
          </w:p>
        </w:tc>
        <w:tc>
          <w:tcPr>
            <w:tcW w:w="1081" w:type="dxa"/>
          </w:tcPr>
          <w:p w14:paraId="00183BD9"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rose</w:t>
            </w:r>
          </w:p>
        </w:tc>
      </w:tr>
      <w:tr w:rsidR="003C1107" w:rsidRPr="00DC7D8F" w14:paraId="1892FBE1" w14:textId="77777777" w:rsidTr="00632AF3">
        <w:tc>
          <w:tcPr>
            <w:tcW w:w="1616" w:type="dxa"/>
          </w:tcPr>
          <w:p w14:paraId="299F9394"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Niphargus</w:t>
            </w:r>
            <w:proofErr w:type="spellEnd"/>
            <w:r w:rsidRPr="00DC7D8F">
              <w:rPr>
                <w:rFonts w:ascii="Times New Roman" w:eastAsia="Times New Roman" w:hAnsi="Times New Roman" w:cs="Times New Roman"/>
                <w:color w:val="000000"/>
                <w:sz w:val="20"/>
                <w:szCs w:val="20"/>
                <w:lang w:eastAsia="de-DE"/>
              </w:rPr>
              <w:t xml:space="preserve"> </w:t>
            </w:r>
            <w:proofErr w:type="spellStart"/>
            <w:r w:rsidRPr="00DC7D8F">
              <w:rPr>
                <w:rFonts w:ascii="Times New Roman" w:eastAsia="Times New Roman" w:hAnsi="Times New Roman" w:cs="Times New Roman"/>
                <w:i/>
                <w:color w:val="000000"/>
                <w:sz w:val="20"/>
                <w:szCs w:val="20"/>
                <w:lang w:eastAsia="de-DE"/>
              </w:rPr>
              <w:t>schellenbergi</w:t>
            </w:r>
            <w:proofErr w:type="spellEnd"/>
            <w:r w:rsidRPr="00DC7D8F">
              <w:rPr>
                <w:rFonts w:ascii="Times New Roman" w:eastAsia="Times New Roman" w:hAnsi="Times New Roman" w:cs="Times New Roman"/>
                <w:color w:val="000000"/>
                <w:sz w:val="20"/>
                <w:szCs w:val="20"/>
                <w:lang w:eastAsia="de-DE"/>
              </w:rPr>
              <w:t xml:space="preserve"> </w:t>
            </w:r>
          </w:p>
        </w:tc>
        <w:tc>
          <w:tcPr>
            <w:tcW w:w="1217" w:type="dxa"/>
          </w:tcPr>
          <w:p w14:paraId="69ED4BC3"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7" w:type="dxa"/>
          </w:tcPr>
          <w:p w14:paraId="4F805E1E"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p>
        </w:tc>
        <w:tc>
          <w:tcPr>
            <w:tcW w:w="1015" w:type="dxa"/>
          </w:tcPr>
          <w:p w14:paraId="0AA77C6B" w14:textId="77777777" w:rsidR="003C1107" w:rsidRPr="00DC7D8F" w:rsidRDefault="003C1107" w:rsidP="00632AF3">
            <w:pPr>
              <w:spacing w:after="0" w:line="240" w:lineRule="auto"/>
              <w:rPr>
                <w:rFonts w:ascii="Times New Roman" w:eastAsia="Times New Roman" w:hAnsi="Times New Roman" w:cs="Times New Roman"/>
                <w:i/>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schel-lenbergi</w:t>
            </w:r>
            <w:proofErr w:type="spellEnd"/>
          </w:p>
        </w:tc>
        <w:tc>
          <w:tcPr>
            <w:tcW w:w="978" w:type="dxa"/>
          </w:tcPr>
          <w:p w14:paraId="565CCE57" w14:textId="77777777" w:rsidR="003C1107" w:rsidRPr="00DC7D8F" w:rsidRDefault="003C1107" w:rsidP="00632AF3">
            <w:pPr>
              <w:spacing w:after="0" w:line="240" w:lineRule="auto"/>
              <w:rPr>
                <w:rFonts w:ascii="Times New Roman" w:eastAsia="Times New Roman" w:hAnsi="Times New Roman" w:cs="Times New Roman"/>
                <w:i/>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schel-lenbergi</w:t>
            </w:r>
            <w:proofErr w:type="spellEnd"/>
          </w:p>
        </w:tc>
        <w:tc>
          <w:tcPr>
            <w:tcW w:w="1019" w:type="dxa"/>
          </w:tcPr>
          <w:p w14:paraId="4164C5A8" w14:textId="77777777" w:rsidR="003C1107" w:rsidRPr="00DC7D8F" w:rsidRDefault="003C1107" w:rsidP="00632AF3">
            <w:pPr>
              <w:spacing w:after="0" w:line="240" w:lineRule="auto"/>
              <w:rPr>
                <w:rFonts w:ascii="Times New Roman" w:eastAsia="Times New Roman" w:hAnsi="Times New Roman" w:cs="Times New Roman"/>
                <w:i/>
                <w:color w:val="000000"/>
                <w:sz w:val="20"/>
                <w:szCs w:val="20"/>
                <w:lang w:eastAsia="de-DE"/>
              </w:rPr>
            </w:pPr>
            <w:proofErr w:type="spellStart"/>
            <w:r w:rsidRPr="00DC7D8F">
              <w:rPr>
                <w:rFonts w:ascii="Times New Roman" w:eastAsia="Times New Roman" w:hAnsi="Times New Roman" w:cs="Times New Roman"/>
                <w:i/>
                <w:color w:val="000000"/>
                <w:sz w:val="20"/>
                <w:szCs w:val="20"/>
                <w:lang w:eastAsia="de-DE"/>
              </w:rPr>
              <w:t>schel-lenbergi</w:t>
            </w:r>
            <w:proofErr w:type="spellEnd"/>
          </w:p>
        </w:tc>
        <w:tc>
          <w:tcPr>
            <w:tcW w:w="980" w:type="dxa"/>
          </w:tcPr>
          <w:p w14:paraId="51FFA701"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sidRPr="00DC7D8F">
              <w:rPr>
                <w:rFonts w:ascii="Times New Roman" w:eastAsia="Times New Roman" w:hAnsi="Times New Roman" w:cs="Times New Roman"/>
                <w:color w:val="000000"/>
                <w:sz w:val="20"/>
                <w:szCs w:val="20"/>
                <w:lang w:eastAsia="de-DE"/>
              </w:rPr>
              <w:t>S</w:t>
            </w:r>
          </w:p>
        </w:tc>
        <w:tc>
          <w:tcPr>
            <w:tcW w:w="1081" w:type="dxa"/>
          </w:tcPr>
          <w:p w14:paraId="57B6BD8F" w14:textId="77777777" w:rsidR="003C1107" w:rsidRPr="00DC7D8F" w:rsidRDefault="003C1107" w:rsidP="00632AF3">
            <w:pPr>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red</w:t>
            </w:r>
          </w:p>
        </w:tc>
      </w:tr>
    </w:tbl>
    <w:p w14:paraId="59D5B3EA" w14:textId="77777777" w:rsidR="00902357" w:rsidRDefault="00902357"/>
    <w:p w14:paraId="7663F54A" w14:textId="77777777" w:rsidR="00C00B39" w:rsidRPr="003C1107" w:rsidRDefault="00C00B39" w:rsidP="00C00B39">
      <w:pPr>
        <w:spacing w:line="360" w:lineRule="auto"/>
        <w:rPr>
          <w:rFonts w:ascii="Times New Roman" w:hAnsi="Times New Roman" w:cs="Times New Roman"/>
          <w:b/>
          <w:sz w:val="28"/>
          <w:szCs w:val="28"/>
        </w:rPr>
      </w:pPr>
      <w:r w:rsidRPr="0016446E">
        <w:rPr>
          <w:rFonts w:ascii="Times New Roman" w:hAnsi="Times New Roman" w:cs="Times New Roman"/>
          <w:b/>
          <w:sz w:val="28"/>
          <w:szCs w:val="28"/>
        </w:rPr>
        <w:t>Supplement</w:t>
      </w:r>
      <w:r>
        <w:rPr>
          <w:rFonts w:ascii="Times New Roman" w:hAnsi="Times New Roman" w:cs="Times New Roman"/>
          <w:b/>
          <w:sz w:val="28"/>
          <w:szCs w:val="28"/>
        </w:rPr>
        <w:t>a</w:t>
      </w:r>
      <w:r w:rsidRPr="0016446E">
        <w:rPr>
          <w:rFonts w:ascii="Times New Roman" w:hAnsi="Times New Roman" w:cs="Times New Roman"/>
          <w:b/>
          <w:sz w:val="28"/>
          <w:szCs w:val="28"/>
        </w:rPr>
        <w:t xml:space="preserve">ry material </w:t>
      </w:r>
      <w:r w:rsidR="00B15F94">
        <w:rPr>
          <w:rFonts w:ascii="Times New Roman" w:hAnsi="Times New Roman" w:cs="Times New Roman"/>
          <w:b/>
          <w:sz w:val="28"/>
          <w:szCs w:val="28"/>
        </w:rPr>
        <w:t>2B</w:t>
      </w:r>
      <w:r w:rsidRPr="0016446E">
        <w:rPr>
          <w:rFonts w:ascii="Times New Roman" w:hAnsi="Times New Roman" w:cs="Times New Roman"/>
          <w:b/>
          <w:sz w:val="28"/>
          <w:szCs w:val="28"/>
        </w:rPr>
        <w:t xml:space="preserve">: </w:t>
      </w:r>
      <w:r>
        <w:rPr>
          <w:rFonts w:ascii="Times New Roman" w:hAnsi="Times New Roman" w:cs="Times New Roman"/>
          <w:b/>
          <w:sz w:val="28"/>
          <w:szCs w:val="28"/>
        </w:rPr>
        <w:t xml:space="preserve">Used colours and colour names </w:t>
      </w:r>
      <w:r w:rsidRPr="00C00B39">
        <w:rPr>
          <w:rFonts w:ascii="Times New Roman" w:hAnsi="Times New Roman" w:cs="Times New Roman"/>
          <w:b/>
          <w:sz w:val="28"/>
          <w:szCs w:val="28"/>
        </w:rPr>
        <w:t xml:space="preserve">following </w:t>
      </w:r>
      <w:hyperlink r:id="rId4" w:history="1">
        <w:r w:rsidRPr="00C00B39">
          <w:rPr>
            <w:rFonts w:ascii="Times New Roman" w:hAnsi="Times New Roman" w:cs="Times New Roman"/>
            <w:b/>
            <w:sz w:val="28"/>
            <w:szCs w:val="28"/>
          </w:rPr>
          <w:t>https://www.w3schools.com/colors/colors_names.asp</w:t>
        </w:r>
      </w:hyperlink>
      <w:r w:rsidRPr="003C1107">
        <w:rPr>
          <w:rFonts w:ascii="Times New Roman" w:hAnsi="Times New Roman" w:cs="Times New Roman"/>
          <w:b/>
          <w:sz w:val="28"/>
          <w:szCs w:val="28"/>
        </w:rPr>
        <w:t>.</w:t>
      </w:r>
    </w:p>
    <w:p w14:paraId="73C61D8D" w14:textId="77777777" w:rsid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Name</w:t>
      </w:r>
      <w:r>
        <w:rPr>
          <w:rFonts w:ascii="Times New Roman" w:eastAsia="Times New Roman" w:hAnsi="Times New Roman" w:cs="Times New Roman"/>
          <w:color w:val="000000"/>
          <w:sz w:val="20"/>
          <w:szCs w:val="20"/>
          <w:lang w:eastAsia="de-DE"/>
        </w:rPr>
        <w:tab/>
        <w:t>Species</w:t>
      </w:r>
      <w:r>
        <w:rPr>
          <w:rFonts w:ascii="Times New Roman" w:eastAsia="Times New Roman" w:hAnsi="Times New Roman" w:cs="Times New Roman"/>
          <w:color w:val="000000"/>
          <w:sz w:val="20"/>
          <w:szCs w:val="20"/>
          <w:lang w:eastAsia="de-DE"/>
        </w:rPr>
        <w:tab/>
        <w:t>Colour Name</w:t>
      </w:r>
      <w:r>
        <w:rPr>
          <w:rFonts w:ascii="Times New Roman" w:eastAsia="Times New Roman" w:hAnsi="Times New Roman" w:cs="Times New Roman"/>
          <w:color w:val="000000"/>
          <w:sz w:val="20"/>
          <w:szCs w:val="20"/>
          <w:lang w:eastAsia="de-DE"/>
        </w:rPr>
        <w:tab/>
      </w:r>
      <w:proofErr w:type="spellStart"/>
      <w:r w:rsidRPr="00C00B39">
        <w:rPr>
          <w:rFonts w:ascii="Times New Roman" w:eastAsia="Times New Roman" w:hAnsi="Times New Roman" w:cs="Times New Roman"/>
          <w:color w:val="000000"/>
          <w:sz w:val="20"/>
          <w:szCs w:val="20"/>
          <w:lang w:eastAsia="de-DE"/>
        </w:rPr>
        <w:t>rgb</w:t>
      </w:r>
      <w:proofErr w:type="spellEnd"/>
    </w:p>
    <w:p w14:paraId="1268AC3A" w14:textId="77777777" w:rsid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fldChar w:fldCharType="begin"/>
      </w:r>
      <w:r>
        <w:rPr>
          <w:rFonts w:ascii="Times New Roman" w:eastAsia="Times New Roman" w:hAnsi="Times New Roman" w:cs="Times New Roman"/>
          <w:color w:val="000000"/>
          <w:sz w:val="20"/>
          <w:szCs w:val="20"/>
          <w:lang w:eastAsia="de-DE"/>
        </w:rPr>
        <w:instrText xml:space="preserve"> ADDIN ZOTERO_ITEM CSL_CITATION {"citationID":"whCue36S","properties":{"formattedCitation":"(Weber {\\i{}et al.} 2023)","plainCitation":"(Weber et al. 2023)","noteIndex":0},"citationItems":[{"id":2112,"uris":["http://zotero.org/users/local/snSnCIR8/items/H5PPP9WK"],"itemData":{"id":2112,"type":"report","abstract":"As for many other groups, patterns of biodiversity for subter-ranean crustaceans in Europe indicate larger morphospecies ranges at higher latitudes (the so-called Rapoport effect). However, this observed correlation may be artefactual if many of those high-latitude, widely distributed morphospecies are actually species complexes. To test this hypothesis, we looked for previously undetected species boundaries within\n            Niphargus aquilex\n            and\n            Niphargus schellenbergi\n            , two closely related morphospecies of groundwater amphipods widely distributed in northern Europe, by sequencing fragments of the mitochondrial cytochrome\n            c\n            oxidase subunit I gene (COI) and of the nuclear 28S ribosomal RNA gene of 198 individuals collected across their area of distribution. Distance-based and allele sharing-based species delimitation approaches were congruent in revealing the existence of at least eight species within\n            N. aquilex\n            and at least two species with\n            N. schellenbergi\n            . Our data demonstrate that these two common morphospecies with large ranges are actually complexes of species with narrower distributions, suggesting that the Rapoport effect might be the result of increased morphological stasis at high latitudes rather than actual differences in sizes of distribution ranges.","genre":"preprint","language":"en","note":"DOI: 10.1101/2023.08.13.553147","publisher":"Zoology","source":"DOI.org (Crossref)","title":"Water diviners multiplied: cryptic diversity in the &lt;i&gt;Niphargus aquilex&lt;/i&gt; species complex in Northern Europe","title-short":"Water diviners multiplied","URL":"http://biorxiv.org/lookup/doi/10.1101/2023.08.13.553147","author":[{"family":"Weber","given":"Dieter"},{"family":"Brad","given":"Traian"},{"family":"Weigand","given":"Alexander"},{"family":"Flot","given":"Jean-François"}],"accessed":{"date-parts":[["2023",9,26]]},"issued":{"date-parts":[["2023",8,15]]}}}],"schema":"https://github.com/citation-style-language/schema/raw/master/csl-citation.json"} </w:instrText>
      </w:r>
      <w:r>
        <w:rPr>
          <w:rFonts w:ascii="Times New Roman" w:eastAsia="Times New Roman" w:hAnsi="Times New Roman" w:cs="Times New Roman"/>
          <w:color w:val="000000"/>
          <w:sz w:val="20"/>
          <w:szCs w:val="20"/>
          <w:lang w:eastAsia="de-DE"/>
        </w:rPr>
        <w:fldChar w:fldCharType="separate"/>
      </w:r>
      <w:r w:rsidRPr="00C00B39">
        <w:rPr>
          <w:rFonts w:ascii="Times New Roman" w:hAnsi="Times New Roman" w:cs="Times New Roman"/>
          <w:sz w:val="20"/>
          <w:szCs w:val="24"/>
        </w:rPr>
        <w:t xml:space="preserve">(Weber </w:t>
      </w:r>
      <w:r w:rsidRPr="00C00B39">
        <w:rPr>
          <w:rFonts w:ascii="Times New Roman" w:hAnsi="Times New Roman" w:cs="Times New Roman"/>
          <w:i/>
          <w:iCs/>
          <w:sz w:val="20"/>
          <w:szCs w:val="24"/>
        </w:rPr>
        <w:t>et al.</w:t>
      </w:r>
      <w:r w:rsidRPr="00C00B39">
        <w:rPr>
          <w:rFonts w:ascii="Times New Roman" w:hAnsi="Times New Roman" w:cs="Times New Roman"/>
          <w:sz w:val="20"/>
          <w:szCs w:val="24"/>
        </w:rPr>
        <w:t xml:space="preserve"> 2023)</w:t>
      </w:r>
      <w:r>
        <w:rPr>
          <w:rFonts w:ascii="Times New Roman" w:eastAsia="Times New Roman" w:hAnsi="Times New Roman" w:cs="Times New Roman"/>
          <w:color w:val="000000"/>
          <w:sz w:val="20"/>
          <w:szCs w:val="20"/>
          <w:lang w:eastAsia="de-DE"/>
        </w:rPr>
        <w:fldChar w:fldCharType="end"/>
      </w:r>
    </w:p>
    <w:p w14:paraId="54A3E63D"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A</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palatinensis</w:t>
      </w:r>
      <w:proofErr w:type="spellEnd"/>
      <w:r w:rsidRPr="003555E1">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Fuchsia</w:t>
      </w:r>
      <w:r w:rsidRPr="00C00B39">
        <w:rPr>
          <w:rFonts w:ascii="Times New Roman" w:eastAsia="Times New Roman" w:hAnsi="Times New Roman" w:cs="Times New Roman"/>
          <w:color w:val="000000"/>
          <w:sz w:val="20"/>
          <w:szCs w:val="20"/>
          <w:lang w:eastAsia="de-DE"/>
        </w:rPr>
        <w:tab/>
        <w:t>255, 0, 255</w:t>
      </w:r>
    </w:p>
    <w:p w14:paraId="2EC4A2B4"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B</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aquilex</w:t>
      </w:r>
      <w:proofErr w:type="spellEnd"/>
      <w:r w:rsidRPr="00C00B39">
        <w:rPr>
          <w:rFonts w:ascii="Times New Roman" w:eastAsia="Times New Roman" w:hAnsi="Times New Roman" w:cs="Times New Roman"/>
          <w:color w:val="000000"/>
          <w:sz w:val="20"/>
          <w:szCs w:val="20"/>
          <w:lang w:eastAsia="de-DE"/>
        </w:rPr>
        <w:tab/>
      </w:r>
      <w:proofErr w:type="spellStart"/>
      <w:r w:rsidRPr="00C00B39">
        <w:rPr>
          <w:rFonts w:ascii="Times New Roman" w:eastAsia="Times New Roman" w:hAnsi="Times New Roman" w:cs="Times New Roman"/>
          <w:color w:val="000000"/>
          <w:sz w:val="20"/>
          <w:szCs w:val="20"/>
          <w:lang w:eastAsia="de-DE"/>
        </w:rPr>
        <w:t>RoyalBlue</w:t>
      </w:r>
      <w:proofErr w:type="spellEnd"/>
      <w:r w:rsidRPr="00C00B39">
        <w:rPr>
          <w:rFonts w:ascii="Times New Roman" w:eastAsia="Times New Roman" w:hAnsi="Times New Roman" w:cs="Times New Roman"/>
          <w:color w:val="000000"/>
          <w:sz w:val="20"/>
          <w:szCs w:val="20"/>
          <w:lang w:eastAsia="de-DE"/>
        </w:rPr>
        <w:tab/>
        <w:t>65, 105, 225</w:t>
      </w:r>
    </w:p>
    <w:p w14:paraId="48A2A67C"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D</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normandiensis</w:t>
      </w:r>
      <w:proofErr w:type="spellEnd"/>
      <w:r w:rsidRPr="003555E1">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Green</w:t>
      </w:r>
      <w:r w:rsidRPr="00C00B39">
        <w:rPr>
          <w:rFonts w:ascii="Times New Roman" w:eastAsia="Times New Roman" w:hAnsi="Times New Roman" w:cs="Times New Roman"/>
          <w:color w:val="000000"/>
          <w:sz w:val="20"/>
          <w:szCs w:val="20"/>
          <w:lang w:eastAsia="de-DE"/>
        </w:rPr>
        <w:tab/>
        <w:t>0, 128, 0</w:t>
      </w:r>
    </w:p>
    <w:p w14:paraId="22D9CDBF"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F</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luxemburgensis</w:t>
      </w:r>
      <w:proofErr w:type="spellEnd"/>
      <w:r w:rsidRPr="003555E1">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proofErr w:type="spellStart"/>
      <w:r w:rsidRPr="00C00B39">
        <w:rPr>
          <w:rFonts w:ascii="Times New Roman" w:eastAsia="Times New Roman" w:hAnsi="Times New Roman" w:cs="Times New Roman"/>
          <w:color w:val="000000"/>
          <w:sz w:val="20"/>
          <w:szCs w:val="20"/>
          <w:lang w:eastAsia="de-DE"/>
        </w:rPr>
        <w:t>DarkOrange</w:t>
      </w:r>
      <w:proofErr w:type="spellEnd"/>
      <w:r w:rsidRPr="00C00B39">
        <w:rPr>
          <w:rFonts w:ascii="Times New Roman" w:eastAsia="Times New Roman" w:hAnsi="Times New Roman" w:cs="Times New Roman"/>
          <w:color w:val="000000"/>
          <w:sz w:val="20"/>
          <w:szCs w:val="20"/>
          <w:lang w:eastAsia="de-DE"/>
        </w:rPr>
        <w:tab/>
        <w:t>255, 140, 0</w:t>
      </w:r>
    </w:p>
    <w:p w14:paraId="18B6E50B"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F'</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luxemburgensis</w:t>
      </w:r>
      <w:proofErr w:type="spellEnd"/>
      <w:r w:rsidRPr="003555E1">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Salmon</w:t>
      </w:r>
      <w:r w:rsidRPr="00C00B39">
        <w:rPr>
          <w:rFonts w:ascii="Times New Roman" w:eastAsia="Times New Roman" w:hAnsi="Times New Roman" w:cs="Times New Roman"/>
          <w:color w:val="000000"/>
          <w:sz w:val="20"/>
          <w:szCs w:val="20"/>
          <w:lang w:eastAsia="de-DE"/>
        </w:rPr>
        <w:tab/>
        <w:t>250, 128, 114</w:t>
      </w:r>
    </w:p>
    <w:p w14:paraId="3B7D8381"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G</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saraviensis</w:t>
      </w:r>
      <w:proofErr w:type="spellEnd"/>
      <w:r w:rsidRPr="00C00B39">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t>B</w:t>
      </w:r>
      <w:r w:rsidRPr="00C00B39">
        <w:rPr>
          <w:rFonts w:ascii="Times New Roman" w:eastAsia="Times New Roman" w:hAnsi="Times New Roman" w:cs="Times New Roman"/>
          <w:color w:val="000000"/>
          <w:sz w:val="20"/>
          <w:szCs w:val="20"/>
          <w:lang w:eastAsia="de-DE"/>
        </w:rPr>
        <w:t>lue</w:t>
      </w:r>
      <w:r w:rsidRPr="00C00B39">
        <w:rPr>
          <w:rFonts w:ascii="Times New Roman" w:eastAsia="Times New Roman" w:hAnsi="Times New Roman" w:cs="Times New Roman"/>
          <w:color w:val="000000"/>
          <w:sz w:val="20"/>
          <w:szCs w:val="20"/>
          <w:lang w:eastAsia="de-DE"/>
        </w:rPr>
        <w:tab/>
        <w:t>0, 0, 255</w:t>
      </w:r>
    </w:p>
    <w:p w14:paraId="592AC1A8"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H</w:t>
      </w:r>
      <w:r w:rsidRPr="00C00B39">
        <w:rPr>
          <w:rFonts w:ascii="Times New Roman" w:eastAsia="Times New Roman" w:hAnsi="Times New Roman" w:cs="Times New Roman"/>
          <w:color w:val="000000"/>
          <w:sz w:val="20"/>
          <w:szCs w:val="20"/>
          <w:lang w:eastAsia="de-DE"/>
        </w:rPr>
        <w:tab/>
        <w:t xml:space="preserve">not herein described </w:t>
      </w:r>
      <w:r>
        <w:rPr>
          <w:rFonts w:ascii="Times New Roman" w:eastAsia="Times New Roman" w:hAnsi="Times New Roman" w:cs="Times New Roman"/>
          <w:color w:val="000000"/>
          <w:sz w:val="20"/>
          <w:szCs w:val="20"/>
          <w:lang w:eastAsia="de-DE"/>
        </w:rPr>
        <w:tab/>
      </w:r>
      <w:proofErr w:type="spellStart"/>
      <w:r w:rsidRPr="00C00B39">
        <w:rPr>
          <w:rFonts w:ascii="Times New Roman" w:eastAsia="Times New Roman" w:hAnsi="Times New Roman" w:cs="Times New Roman"/>
          <w:color w:val="000000"/>
          <w:sz w:val="20"/>
          <w:szCs w:val="20"/>
          <w:lang w:eastAsia="de-DE"/>
        </w:rPr>
        <w:t>CadetBlue</w:t>
      </w:r>
      <w:proofErr w:type="spellEnd"/>
      <w:r w:rsidRPr="00C00B39">
        <w:rPr>
          <w:rFonts w:ascii="Times New Roman" w:eastAsia="Times New Roman" w:hAnsi="Times New Roman" w:cs="Times New Roman"/>
          <w:color w:val="000000"/>
          <w:sz w:val="20"/>
          <w:szCs w:val="20"/>
          <w:lang w:eastAsia="de-DE"/>
        </w:rPr>
        <w:tab/>
        <w:t>95, 158, 160</w:t>
      </w:r>
    </w:p>
    <w:p w14:paraId="5854230B"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H'</w:t>
      </w:r>
      <w:r w:rsidRPr="00C00B39">
        <w:rPr>
          <w:rFonts w:ascii="Times New Roman" w:eastAsia="Times New Roman" w:hAnsi="Times New Roman" w:cs="Times New Roman"/>
          <w:color w:val="000000"/>
          <w:sz w:val="20"/>
          <w:szCs w:val="20"/>
          <w:lang w:eastAsia="de-DE"/>
        </w:rPr>
        <w:tab/>
        <w:t xml:space="preserve">not herein described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Maroon</w:t>
      </w:r>
      <w:r w:rsidRPr="00C00B39">
        <w:rPr>
          <w:rFonts w:ascii="Times New Roman" w:eastAsia="Times New Roman" w:hAnsi="Times New Roman" w:cs="Times New Roman"/>
          <w:color w:val="000000"/>
          <w:sz w:val="20"/>
          <w:szCs w:val="20"/>
          <w:lang w:eastAsia="de-DE"/>
        </w:rPr>
        <w:tab/>
        <w:t>128, 0, 0</w:t>
      </w:r>
    </w:p>
    <w:p w14:paraId="2ED1551C"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I</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w</w:t>
      </w:r>
      <w:r w:rsidR="0000104D">
        <w:rPr>
          <w:rFonts w:ascii="Times New Roman" w:eastAsia="Times New Roman" w:hAnsi="Times New Roman" w:cs="Times New Roman"/>
          <w:i/>
          <w:color w:val="000000"/>
          <w:sz w:val="20"/>
          <w:szCs w:val="20"/>
          <w:lang w:eastAsia="de-DE"/>
        </w:rPr>
        <w:t>asgau</w:t>
      </w:r>
      <w:r w:rsidRPr="0073455F">
        <w:rPr>
          <w:rFonts w:ascii="Times New Roman" w:eastAsia="Times New Roman" w:hAnsi="Times New Roman" w:cs="Times New Roman"/>
          <w:i/>
          <w:color w:val="000000"/>
          <w:sz w:val="20"/>
          <w:szCs w:val="20"/>
          <w:lang w:eastAsia="de-DE"/>
        </w:rPr>
        <w:t>ensis</w:t>
      </w:r>
      <w:proofErr w:type="spellEnd"/>
      <w:r w:rsidRPr="00C00B39">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 xml:space="preserve">Gold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255, 215, 0</w:t>
      </w:r>
    </w:p>
    <w:p w14:paraId="2FBACD2B"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J</w:t>
      </w:r>
      <w:r w:rsidRPr="00C00B39">
        <w:rPr>
          <w:rFonts w:ascii="Times New Roman" w:eastAsia="Times New Roman" w:hAnsi="Times New Roman" w:cs="Times New Roman"/>
          <w:color w:val="000000"/>
          <w:sz w:val="20"/>
          <w:szCs w:val="20"/>
          <w:lang w:eastAsia="de-DE"/>
        </w:rPr>
        <w:tab/>
        <w:t xml:space="preserve">not herein described </w:t>
      </w:r>
      <w:r>
        <w:rPr>
          <w:rFonts w:ascii="Times New Roman" w:eastAsia="Times New Roman" w:hAnsi="Times New Roman" w:cs="Times New Roman"/>
          <w:color w:val="000000"/>
          <w:sz w:val="20"/>
          <w:szCs w:val="20"/>
          <w:lang w:eastAsia="de-DE"/>
        </w:rPr>
        <w:tab/>
      </w:r>
      <w:proofErr w:type="spellStart"/>
      <w:r w:rsidRPr="00C00B39">
        <w:rPr>
          <w:rFonts w:ascii="Times New Roman" w:eastAsia="Times New Roman" w:hAnsi="Times New Roman" w:cs="Times New Roman"/>
          <w:color w:val="000000"/>
          <w:sz w:val="20"/>
          <w:szCs w:val="20"/>
          <w:lang w:eastAsia="de-DE"/>
        </w:rPr>
        <w:t>DarkGreen</w:t>
      </w:r>
      <w:proofErr w:type="spellEnd"/>
      <w:r w:rsidRPr="00C00B39">
        <w:rPr>
          <w:rFonts w:ascii="Times New Roman" w:eastAsia="Times New Roman" w:hAnsi="Times New Roman" w:cs="Times New Roman"/>
          <w:color w:val="000000"/>
          <w:sz w:val="20"/>
          <w:szCs w:val="20"/>
          <w:lang w:eastAsia="de-DE"/>
        </w:rPr>
        <w:tab/>
        <w:t>0, 100, 0</w:t>
      </w:r>
    </w:p>
    <w:p w14:paraId="2C5DB4BA"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KL</w:t>
      </w:r>
      <w:r w:rsidRPr="00C00B39">
        <w:rPr>
          <w:rFonts w:ascii="Times New Roman" w:eastAsia="Times New Roman" w:hAnsi="Times New Roman" w:cs="Times New Roman"/>
          <w:color w:val="000000"/>
          <w:sz w:val="20"/>
          <w:szCs w:val="20"/>
          <w:lang w:eastAsia="de-DE"/>
        </w:rPr>
        <w:tab/>
        <w:t>not herein described</w:t>
      </w:r>
      <w:r w:rsidRPr="00C00B39">
        <w:rPr>
          <w:rFonts w:ascii="Times New Roman" w:eastAsia="Times New Roman" w:hAnsi="Times New Roman" w:cs="Times New Roman"/>
          <w:color w:val="000000"/>
          <w:sz w:val="20"/>
          <w:szCs w:val="20"/>
          <w:lang w:eastAsia="de-DE"/>
        </w:rPr>
        <w:tab/>
        <w:t>Aqua</w:t>
      </w:r>
      <w:r w:rsidRPr="00C00B39">
        <w:rPr>
          <w:rFonts w:ascii="Times New Roman" w:eastAsia="Times New Roman" w:hAnsi="Times New Roman" w:cs="Times New Roman"/>
          <w:color w:val="000000"/>
          <w:sz w:val="20"/>
          <w:szCs w:val="20"/>
          <w:lang w:eastAsia="de-DE"/>
        </w:rPr>
        <w:tab/>
        <w:t>0, 255, 255</w:t>
      </w:r>
    </w:p>
    <w:p w14:paraId="21EB0FB3"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N</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normandiensis</w:t>
      </w:r>
      <w:proofErr w:type="spellEnd"/>
      <w:r w:rsidRPr="003555E1">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proofErr w:type="spellStart"/>
      <w:r w:rsidRPr="00C00B39">
        <w:rPr>
          <w:rFonts w:ascii="Times New Roman" w:eastAsia="Times New Roman" w:hAnsi="Times New Roman" w:cs="Times New Roman"/>
          <w:color w:val="000000"/>
          <w:sz w:val="20"/>
          <w:szCs w:val="20"/>
          <w:lang w:eastAsia="de-DE"/>
        </w:rPr>
        <w:t>YellowGreen</w:t>
      </w:r>
      <w:proofErr w:type="spellEnd"/>
      <w:r w:rsidRPr="00C00B39">
        <w:rPr>
          <w:rFonts w:ascii="Times New Roman" w:eastAsia="Times New Roman" w:hAnsi="Times New Roman" w:cs="Times New Roman"/>
          <w:color w:val="000000"/>
          <w:sz w:val="20"/>
          <w:szCs w:val="20"/>
          <w:lang w:eastAsia="de-DE"/>
        </w:rPr>
        <w:tab/>
        <w:t>154, 205, 50</w:t>
      </w:r>
    </w:p>
    <w:p w14:paraId="51C60E7B"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R</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lotharingiensis</w:t>
      </w:r>
      <w:proofErr w:type="spellEnd"/>
      <w:r w:rsidRPr="003555E1">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Pink</w:t>
      </w:r>
      <w:r w:rsidRPr="00C00B39">
        <w:rPr>
          <w:rFonts w:ascii="Times New Roman" w:eastAsia="Times New Roman" w:hAnsi="Times New Roman" w:cs="Times New Roman"/>
          <w:color w:val="000000"/>
          <w:sz w:val="20"/>
          <w:szCs w:val="20"/>
          <w:lang w:eastAsia="de-DE"/>
        </w:rPr>
        <w:tab/>
        <w:t>255, 192, 203</w:t>
      </w:r>
    </w:p>
    <w:p w14:paraId="36267753" w14:textId="77777777" w:rsid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sidRPr="00C00B39">
        <w:rPr>
          <w:rFonts w:ascii="Times New Roman" w:eastAsia="Times New Roman" w:hAnsi="Times New Roman" w:cs="Times New Roman"/>
          <w:color w:val="000000"/>
          <w:sz w:val="20"/>
          <w:szCs w:val="20"/>
          <w:lang w:eastAsia="de-DE"/>
        </w:rPr>
        <w:t>S</w:t>
      </w:r>
      <w:r w:rsidRPr="00C00B39">
        <w:rPr>
          <w:rFonts w:ascii="Times New Roman" w:eastAsia="Times New Roman" w:hAnsi="Times New Roman" w:cs="Times New Roman"/>
          <w:color w:val="000000"/>
          <w:sz w:val="20"/>
          <w:szCs w:val="20"/>
          <w:lang w:eastAsia="de-DE"/>
        </w:rPr>
        <w:tab/>
      </w:r>
      <w:proofErr w:type="spellStart"/>
      <w:r w:rsidRPr="0073455F">
        <w:rPr>
          <w:rFonts w:ascii="Times New Roman" w:eastAsia="Times New Roman" w:hAnsi="Times New Roman" w:cs="Times New Roman"/>
          <w:i/>
          <w:color w:val="000000"/>
          <w:sz w:val="20"/>
          <w:szCs w:val="20"/>
          <w:lang w:eastAsia="de-DE"/>
        </w:rPr>
        <w:t>Niphargus</w:t>
      </w:r>
      <w:proofErr w:type="spellEnd"/>
      <w:r w:rsidRPr="0073455F">
        <w:rPr>
          <w:rFonts w:ascii="Times New Roman" w:eastAsia="Times New Roman" w:hAnsi="Times New Roman" w:cs="Times New Roman"/>
          <w:i/>
          <w:color w:val="000000"/>
          <w:sz w:val="20"/>
          <w:szCs w:val="20"/>
          <w:lang w:eastAsia="de-DE"/>
        </w:rPr>
        <w:t xml:space="preserve"> </w:t>
      </w:r>
      <w:proofErr w:type="spellStart"/>
      <w:r w:rsidRPr="0073455F">
        <w:rPr>
          <w:rFonts w:ascii="Times New Roman" w:eastAsia="Times New Roman" w:hAnsi="Times New Roman" w:cs="Times New Roman"/>
          <w:i/>
          <w:color w:val="000000"/>
          <w:sz w:val="20"/>
          <w:szCs w:val="20"/>
          <w:lang w:eastAsia="de-DE"/>
        </w:rPr>
        <w:t>schellenbergi</w:t>
      </w:r>
      <w:proofErr w:type="spellEnd"/>
      <w:r w:rsidRPr="00C00B39">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ab/>
      </w:r>
      <w:r w:rsidRPr="00C00B39">
        <w:rPr>
          <w:rFonts w:ascii="Times New Roman" w:eastAsia="Times New Roman" w:hAnsi="Times New Roman" w:cs="Times New Roman"/>
          <w:color w:val="000000"/>
          <w:sz w:val="20"/>
          <w:szCs w:val="20"/>
          <w:lang w:eastAsia="de-DE"/>
        </w:rPr>
        <w:t>Red</w:t>
      </w:r>
      <w:r w:rsidRPr="00C00B39">
        <w:rPr>
          <w:rFonts w:ascii="Times New Roman" w:eastAsia="Times New Roman" w:hAnsi="Times New Roman" w:cs="Times New Roman"/>
          <w:color w:val="000000"/>
          <w:sz w:val="20"/>
          <w:szCs w:val="20"/>
          <w:lang w:eastAsia="de-DE"/>
        </w:rPr>
        <w:tab/>
        <w:t>255, 0, 0</w:t>
      </w:r>
    </w:p>
    <w:p w14:paraId="7CBC818B" w14:textId="77777777" w:rsid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p>
    <w:p w14:paraId="66C29BE4" w14:textId="77777777" w:rsidR="00C00B39" w:rsidRPr="00C00B39" w:rsidRDefault="00C00B39" w:rsidP="00C00B39">
      <w:pPr>
        <w:tabs>
          <w:tab w:val="left" w:pos="1701"/>
          <w:tab w:val="left" w:pos="4111"/>
          <w:tab w:val="left" w:pos="5670"/>
        </w:tabs>
        <w:spacing w:after="0" w:line="240" w:lineRule="auto"/>
        <w:rPr>
          <w:rFonts w:ascii="Times New Roman" w:eastAsia="Times New Roman" w:hAnsi="Times New Roman" w:cs="Times New Roman"/>
          <w:color w:val="000000"/>
          <w:sz w:val="20"/>
          <w:szCs w:val="20"/>
          <w:lang w:eastAsia="de-DE"/>
        </w:rPr>
      </w:pPr>
      <w:r>
        <w:rPr>
          <w:rFonts w:ascii="Times New Roman" w:eastAsia="Times New Roman" w:hAnsi="Times New Roman" w:cs="Times New Roman"/>
          <w:color w:val="000000"/>
          <w:sz w:val="20"/>
          <w:szCs w:val="20"/>
          <w:lang w:eastAsia="de-DE"/>
        </w:rPr>
        <w:t>References</w:t>
      </w:r>
    </w:p>
    <w:p w14:paraId="52E37755" w14:textId="77777777" w:rsidR="00C00B39" w:rsidRDefault="00C00B39"/>
    <w:p w14:paraId="7B65DB3B" w14:textId="77777777" w:rsidR="00C00B39" w:rsidRPr="00C00B39" w:rsidRDefault="00C00B39" w:rsidP="00C00B39">
      <w:pPr>
        <w:pStyle w:val="Bibliography"/>
        <w:rPr>
          <w:rFonts w:ascii="Calibri" w:hAnsi="Calibri" w:cs="Calibri"/>
        </w:rPr>
      </w:pPr>
      <w:r>
        <w:fldChar w:fldCharType="begin"/>
      </w:r>
      <w:r>
        <w:instrText xml:space="preserve"> ADDIN ZOTERO_BIBL {"uncited":[],"omitted":[],"custom":[]} CSL_BIBLIOGRAPHY </w:instrText>
      </w:r>
      <w:r>
        <w:fldChar w:fldCharType="separate"/>
      </w:r>
      <w:r w:rsidRPr="00C00B39">
        <w:rPr>
          <w:rFonts w:ascii="Calibri" w:hAnsi="Calibri" w:cs="Calibri"/>
        </w:rPr>
        <w:t xml:space="preserve">Grabner D., Weber D. &amp; Weigand A.M. 2020. Updates to the sporadic knowledge on microsporidian infections in groundwater amphipods (Crustacea, Amphipoda, Niphargidae). </w:t>
      </w:r>
      <w:r w:rsidRPr="00C00B39">
        <w:rPr>
          <w:rFonts w:ascii="Calibri" w:hAnsi="Calibri" w:cs="Calibri"/>
          <w:i/>
          <w:iCs/>
        </w:rPr>
        <w:t>Subterranean Biology</w:t>
      </w:r>
      <w:r w:rsidRPr="00C00B39">
        <w:rPr>
          <w:rFonts w:ascii="Calibri" w:hAnsi="Calibri" w:cs="Calibri"/>
        </w:rPr>
        <w:t xml:space="preserve"> 33: 71–85. https://doi.org/10.3897/subtbiol.33.48633</w:t>
      </w:r>
    </w:p>
    <w:p w14:paraId="0D986118" w14:textId="77777777" w:rsidR="00C00B39" w:rsidRPr="00C00B39" w:rsidRDefault="00C00B39" w:rsidP="00C00B39">
      <w:pPr>
        <w:pStyle w:val="Bibliography"/>
        <w:rPr>
          <w:rFonts w:ascii="Calibri" w:hAnsi="Calibri" w:cs="Calibri"/>
        </w:rPr>
      </w:pPr>
      <w:r w:rsidRPr="00C00B39">
        <w:rPr>
          <w:rFonts w:ascii="Calibri" w:hAnsi="Calibri" w:cs="Calibri"/>
        </w:rPr>
        <w:t xml:space="preserve">McInerney C.E., Maurice L., Robertson A.L., Knight L.R.F.D., Arnscheidt J., Venditti C., Dooley J.S.G., Mathers T., Matthijs S., Erikkson K., Proudlove G.S. &amp; Hänfling B. 2014. The Ancient Britons: Groundwater fauna survived extreme climate changes over tens of millions of years across NW Europe. </w:t>
      </w:r>
      <w:r w:rsidRPr="00C00B39">
        <w:rPr>
          <w:rFonts w:ascii="Calibri" w:hAnsi="Calibri" w:cs="Calibri"/>
          <w:i/>
          <w:iCs/>
        </w:rPr>
        <w:t>Molecular Ecology</w:t>
      </w:r>
      <w:r w:rsidRPr="00C00B39">
        <w:rPr>
          <w:rFonts w:ascii="Calibri" w:hAnsi="Calibri" w:cs="Calibri"/>
        </w:rPr>
        <w:t xml:space="preserve"> 23: 1153–1166. https://doi.org/10.1111/mec.12664</w:t>
      </w:r>
    </w:p>
    <w:p w14:paraId="29D19689" w14:textId="77777777" w:rsidR="00C00B39" w:rsidRPr="00C36864" w:rsidRDefault="00C00B39" w:rsidP="00C00B39">
      <w:pPr>
        <w:pStyle w:val="Bibliography"/>
        <w:rPr>
          <w:rFonts w:ascii="Calibri" w:hAnsi="Calibri" w:cs="Calibri"/>
          <w:lang w:val="nl-BE"/>
        </w:rPr>
      </w:pPr>
      <w:r w:rsidRPr="00C00B39">
        <w:rPr>
          <w:rFonts w:ascii="Calibri" w:hAnsi="Calibri" w:cs="Calibri"/>
        </w:rPr>
        <w:t xml:space="preserve">Weber D., Brad T., Weigand A. &amp; Flot J.-F. 2023. Water diviners multiplied: cryptic diversity in the </w:t>
      </w:r>
      <w:r w:rsidRPr="00C00B39">
        <w:rPr>
          <w:rFonts w:ascii="Calibri" w:hAnsi="Calibri" w:cs="Calibri"/>
          <w:i/>
          <w:iCs/>
        </w:rPr>
        <w:t>Niphargus aquilex</w:t>
      </w:r>
      <w:r w:rsidRPr="00C00B39">
        <w:rPr>
          <w:rFonts w:ascii="Calibri" w:hAnsi="Calibri" w:cs="Calibri"/>
        </w:rPr>
        <w:t xml:space="preserve"> species complex in Northern Europe. </w:t>
      </w:r>
      <w:r w:rsidRPr="00C36864">
        <w:rPr>
          <w:rFonts w:ascii="Calibri" w:hAnsi="Calibri" w:cs="Calibri"/>
          <w:lang w:val="nl-BE"/>
        </w:rPr>
        <w:t>Preprint: Zoology.</w:t>
      </w:r>
    </w:p>
    <w:p w14:paraId="6888BDD0" w14:textId="77777777" w:rsidR="00C00B39" w:rsidRPr="00C00B39" w:rsidRDefault="00C00B39" w:rsidP="00C00B39">
      <w:pPr>
        <w:pStyle w:val="Bibliography"/>
        <w:rPr>
          <w:rFonts w:ascii="Calibri" w:hAnsi="Calibri" w:cs="Calibri"/>
        </w:rPr>
      </w:pPr>
      <w:r w:rsidRPr="00C36864">
        <w:rPr>
          <w:rFonts w:ascii="Calibri" w:hAnsi="Calibri" w:cs="Calibri"/>
          <w:lang w:val="nl-BE"/>
        </w:rPr>
        <w:t xml:space="preserve">Weber D. &amp; Flot J.-F. 2020. Rote Liste und Gesamtartenliste der Grundwasserkrebse (Niphargidae) des Saarlandes. </w:t>
      </w:r>
      <w:r w:rsidRPr="00C36864">
        <w:rPr>
          <w:rFonts w:ascii="Calibri" w:hAnsi="Calibri" w:cs="Calibri"/>
          <w:i/>
          <w:iCs/>
          <w:lang w:val="nl-BE"/>
        </w:rPr>
        <w:t>In</w:t>
      </w:r>
      <w:r w:rsidRPr="00C36864">
        <w:rPr>
          <w:rFonts w:ascii="Calibri" w:hAnsi="Calibri" w:cs="Calibri"/>
          <w:lang w:val="nl-BE"/>
        </w:rPr>
        <w:t xml:space="preserve">: </w:t>
      </w:r>
      <w:r w:rsidRPr="00C36864">
        <w:rPr>
          <w:rFonts w:ascii="Calibri" w:hAnsi="Calibri" w:cs="Calibri"/>
          <w:i/>
          <w:iCs/>
          <w:lang w:val="nl-BE"/>
        </w:rPr>
        <w:t>Rote Liste gefährdeter Tiere und Pflanzen des Saarlandes, pdf-Ausgabe</w:t>
      </w:r>
      <w:r w:rsidRPr="00C36864">
        <w:rPr>
          <w:rFonts w:ascii="Calibri" w:hAnsi="Calibri" w:cs="Calibri"/>
          <w:lang w:val="nl-BE"/>
        </w:rPr>
        <w:t xml:space="preserve">: 3–9. </w:t>
      </w:r>
      <w:r w:rsidRPr="00C00B39">
        <w:rPr>
          <w:rFonts w:ascii="Calibri" w:hAnsi="Calibri" w:cs="Calibri"/>
        </w:rPr>
        <w:t>Saarbrücken und Landsweiler-Reden.</w:t>
      </w:r>
    </w:p>
    <w:p w14:paraId="60E6CFAB" w14:textId="77777777" w:rsidR="00C00B39" w:rsidRPr="00C00B39" w:rsidRDefault="00C00B39" w:rsidP="00C00B39">
      <w:pPr>
        <w:pStyle w:val="Bibliography"/>
        <w:rPr>
          <w:rFonts w:ascii="Calibri" w:hAnsi="Calibri" w:cs="Calibri"/>
        </w:rPr>
      </w:pPr>
      <w:r w:rsidRPr="00C00B39">
        <w:rPr>
          <w:rFonts w:ascii="Calibri" w:hAnsi="Calibri" w:cs="Calibri"/>
        </w:rPr>
        <w:t xml:space="preserve">Weber D., Flot J.-F., Frantz A.C. &amp; Weigand A.M. 2022. Molecular analyses of groundwater amphipods (Crustacea: Niphargidae) from Luxembourg: new species reveal limitations of morphology-based checklists. </w:t>
      </w:r>
      <w:r w:rsidRPr="00C00B39">
        <w:rPr>
          <w:rFonts w:ascii="Calibri" w:hAnsi="Calibri" w:cs="Calibri"/>
          <w:i/>
          <w:iCs/>
        </w:rPr>
        <w:t>Zootaxa</w:t>
      </w:r>
      <w:r w:rsidRPr="00C00B39">
        <w:rPr>
          <w:rFonts w:ascii="Calibri" w:hAnsi="Calibri" w:cs="Calibri"/>
        </w:rPr>
        <w:t xml:space="preserve"> 5222 (6): 501–533. https://doi.org/10.11646/zootaxa.5222.6.1</w:t>
      </w:r>
    </w:p>
    <w:p w14:paraId="11B9BDAC" w14:textId="77777777" w:rsidR="00C00B39" w:rsidRPr="00C00B39" w:rsidRDefault="00C00B39" w:rsidP="00C00B39">
      <w:pPr>
        <w:pStyle w:val="Bibliography"/>
        <w:rPr>
          <w:rFonts w:ascii="Calibri" w:hAnsi="Calibri" w:cs="Calibri"/>
        </w:rPr>
      </w:pPr>
      <w:r w:rsidRPr="00C00B39">
        <w:rPr>
          <w:rFonts w:ascii="Calibri" w:hAnsi="Calibri" w:cs="Calibri"/>
        </w:rPr>
        <w:t xml:space="preserve">Weber D. &amp; Weigand A.M. 2023. Groundwater Amphipods of the hyporheic interstitial: a case study from Luxembourg and the Greater Region. </w:t>
      </w:r>
      <w:r w:rsidRPr="00C00B39">
        <w:rPr>
          <w:rFonts w:ascii="Calibri" w:hAnsi="Calibri" w:cs="Calibri"/>
          <w:i/>
          <w:iCs/>
        </w:rPr>
        <w:t>Diversity</w:t>
      </w:r>
      <w:r w:rsidRPr="00C00B39">
        <w:rPr>
          <w:rFonts w:ascii="Calibri" w:hAnsi="Calibri" w:cs="Calibri"/>
        </w:rPr>
        <w:t xml:space="preserve"> 15 (3): 411. https://doi.org/10.3390/d15030411</w:t>
      </w:r>
    </w:p>
    <w:p w14:paraId="1DAE2E34" w14:textId="77777777" w:rsidR="00C00B39" w:rsidRDefault="00C00B39">
      <w:r>
        <w:fldChar w:fldCharType="end"/>
      </w:r>
    </w:p>
    <w:sectPr w:rsidR="00C00B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07"/>
    <w:rsid w:val="0000104D"/>
    <w:rsid w:val="003C1107"/>
    <w:rsid w:val="003C4A06"/>
    <w:rsid w:val="003E1AD0"/>
    <w:rsid w:val="0073455F"/>
    <w:rsid w:val="00902357"/>
    <w:rsid w:val="009B6AD9"/>
    <w:rsid w:val="00A7708C"/>
    <w:rsid w:val="00B15F94"/>
    <w:rsid w:val="00C00B39"/>
    <w:rsid w:val="00C36864"/>
    <w:rsid w:val="00D169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1EFC"/>
  <w15:chartTrackingRefBased/>
  <w15:docId w15:val="{6AD0A55A-31A9-4F9A-94A4-B4CC4BE75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1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C1107"/>
    <w:pPr>
      <w:spacing w:after="200" w:line="240" w:lineRule="auto"/>
    </w:pPr>
    <w:rPr>
      <w:sz w:val="20"/>
      <w:szCs w:val="20"/>
      <w:lang w:val="de-DE"/>
    </w:rPr>
  </w:style>
  <w:style w:type="character" w:customStyle="1" w:styleId="CommentTextChar">
    <w:name w:val="Comment Text Char"/>
    <w:basedOn w:val="DefaultParagraphFont"/>
    <w:link w:val="CommentText"/>
    <w:uiPriority w:val="99"/>
    <w:rsid w:val="003C1107"/>
    <w:rPr>
      <w:sz w:val="20"/>
      <w:szCs w:val="20"/>
    </w:rPr>
  </w:style>
  <w:style w:type="character" w:styleId="CommentReference">
    <w:name w:val="annotation reference"/>
    <w:basedOn w:val="DefaultParagraphFont"/>
    <w:uiPriority w:val="99"/>
    <w:semiHidden/>
    <w:unhideWhenUsed/>
    <w:rsid w:val="003C1107"/>
    <w:rPr>
      <w:sz w:val="16"/>
      <w:szCs w:val="16"/>
    </w:rPr>
  </w:style>
  <w:style w:type="paragraph" w:styleId="BalloonText">
    <w:name w:val="Balloon Text"/>
    <w:basedOn w:val="Normal"/>
    <w:link w:val="BalloonTextChar"/>
    <w:uiPriority w:val="99"/>
    <w:semiHidden/>
    <w:unhideWhenUsed/>
    <w:rsid w:val="003C1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107"/>
    <w:rPr>
      <w:rFonts w:ascii="Segoe UI" w:hAnsi="Segoe UI" w:cs="Segoe UI"/>
      <w:sz w:val="18"/>
      <w:szCs w:val="18"/>
      <w:lang w:val="en-GB"/>
    </w:rPr>
  </w:style>
  <w:style w:type="character" w:styleId="Hyperlink">
    <w:name w:val="Hyperlink"/>
    <w:basedOn w:val="DefaultParagraphFont"/>
    <w:uiPriority w:val="99"/>
    <w:unhideWhenUsed/>
    <w:rsid w:val="00C00B39"/>
    <w:rPr>
      <w:color w:val="0563C1" w:themeColor="hyperlink"/>
      <w:u w:val="single"/>
    </w:rPr>
  </w:style>
  <w:style w:type="paragraph" w:styleId="Bibliography">
    <w:name w:val="Bibliography"/>
    <w:basedOn w:val="Normal"/>
    <w:next w:val="Normal"/>
    <w:uiPriority w:val="37"/>
    <w:unhideWhenUsed/>
    <w:rsid w:val="00C00B39"/>
    <w:pPr>
      <w:spacing w:after="240" w:line="240" w:lineRule="auto"/>
      <w:ind w:left="720" w:hanging="720"/>
    </w:pPr>
  </w:style>
  <w:style w:type="paragraph" w:customStyle="1" w:styleId="NormalEJTstylesMaintext">
    <w:name w:val="Normal (EJT styles:Main text)"/>
    <w:basedOn w:val="Normal"/>
    <w:uiPriority w:val="99"/>
    <w:rsid w:val="003C4A06"/>
    <w:pPr>
      <w:suppressAutoHyphens/>
      <w:autoSpaceDE w:val="0"/>
      <w:autoSpaceDN w:val="0"/>
      <w:adjustRightInd w:val="0"/>
      <w:spacing w:after="227" w:line="288" w:lineRule="auto"/>
      <w:jc w:val="both"/>
      <w:textAlignment w:val="center"/>
    </w:pPr>
    <w:rPr>
      <w:rFonts w:ascii="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3schools.com/colors/colors_names.as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3297</Words>
  <Characters>18797</Characters>
  <Application>Microsoft Office Word</Application>
  <DocSecurity>0</DocSecurity>
  <Lines>156</Lines>
  <Paragraphs>44</Paragraphs>
  <ScaleCrop>false</ScaleCrop>
  <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Weber</dc:creator>
  <cp:keywords/>
  <dc:description/>
  <cp:lastModifiedBy>Kristiaan Hoedemakers</cp:lastModifiedBy>
  <cp:revision>2</cp:revision>
  <dcterms:created xsi:type="dcterms:W3CDTF">2025-08-21T09:43:00Z</dcterms:created>
  <dcterms:modified xsi:type="dcterms:W3CDTF">2025-08-21T09:43:00Z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id="9rgItAA5"/&gt;&lt;style id="http://www.zotero.org/styles/european-journal-of-taxonomy" hasBibliography="1" bibliographyStyleHasBeenSet="1"/&gt;&lt;prefs&gt;&lt;pref name="fieldType" value="Field"/&gt;&lt;/prefs&gt;&lt;/data&gt;</vt:lpwstr>
  </property>
</Properties>
</file>