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9B37" w14:textId="77777777" w:rsidR="009A3AE0" w:rsidRDefault="009A3AE0" w:rsidP="009A3AE0">
      <w:pPr>
        <w:pStyle w:val="NormalEJTstylesMaintext"/>
      </w:pPr>
      <w:r>
        <w:t>https://doi.org/10.5852/ejt.2025.1011.3023.13563</w:t>
      </w:r>
    </w:p>
    <w:p w14:paraId="33A7A061" w14:textId="460A7F61" w:rsidR="005C5D3B" w:rsidRPr="00A72429" w:rsidRDefault="005C5D3B" w:rsidP="005C5D3B">
      <w:pPr>
        <w:tabs>
          <w:tab w:val="left" w:pos="1276"/>
          <w:tab w:val="left" w:pos="4580"/>
          <w:tab w:val="left" w:pos="5387"/>
          <w:tab w:val="left" w:pos="5954"/>
          <w:tab w:val="left" w:pos="680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rPr>
      </w:pPr>
      <w:r w:rsidRPr="00A72429">
        <w:rPr>
          <w:rFonts w:ascii="Times New Roman" w:hAnsi="Times New Roman" w:cs="Times New Roman"/>
          <w:b/>
          <w:sz w:val="24"/>
          <w:szCs w:val="24"/>
          <w:lang w:val="en-US"/>
        </w:rPr>
        <w:t xml:space="preserve">Supplementary material </w:t>
      </w:r>
      <w:r w:rsidR="00A72429" w:rsidRPr="00A72429">
        <w:rPr>
          <w:rFonts w:ascii="Times New Roman" w:hAnsi="Times New Roman" w:cs="Times New Roman"/>
          <w:b/>
          <w:sz w:val="24"/>
          <w:szCs w:val="24"/>
          <w:lang w:val="en-US"/>
        </w:rPr>
        <w:t>5</w:t>
      </w:r>
      <w:r w:rsidRPr="00A72429">
        <w:rPr>
          <w:rFonts w:ascii="Times New Roman" w:hAnsi="Times New Roman" w:cs="Times New Roman"/>
          <w:b/>
          <w:sz w:val="24"/>
          <w:szCs w:val="24"/>
          <w:lang w:val="en-US"/>
        </w:rPr>
        <w:t>: Used primers</w:t>
      </w:r>
    </w:p>
    <w:p w14:paraId="40C076A4" w14:textId="77777777" w:rsidR="005C5D3B" w:rsidRPr="008932B7" w:rsidRDefault="005C5D3B" w:rsidP="005C5D3B">
      <w:pPr>
        <w:tabs>
          <w:tab w:val="left" w:pos="1276"/>
          <w:tab w:val="left" w:pos="4580"/>
          <w:tab w:val="left" w:pos="5387"/>
          <w:tab w:val="left" w:pos="5954"/>
          <w:tab w:val="left" w:pos="6663"/>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FF"/>
          <w:sz w:val="20"/>
          <w:szCs w:val="20"/>
          <w:lang w:val="fr-FR" w:eastAsia="de-DE"/>
        </w:rPr>
      </w:pPr>
    </w:p>
    <w:tbl>
      <w:tblPr>
        <w:tblStyle w:val="TableGrid"/>
        <w:tblW w:w="9209" w:type="dxa"/>
        <w:tblLook w:val="04A0" w:firstRow="1" w:lastRow="0" w:firstColumn="1" w:lastColumn="0" w:noHBand="0" w:noVBand="1"/>
      </w:tblPr>
      <w:tblGrid>
        <w:gridCol w:w="1201"/>
        <w:gridCol w:w="3756"/>
        <w:gridCol w:w="1134"/>
        <w:gridCol w:w="992"/>
        <w:gridCol w:w="2126"/>
      </w:tblGrid>
      <w:tr w:rsidR="005C5D3B" w:rsidRPr="009E7A40" w14:paraId="230F7B90" w14:textId="77777777" w:rsidTr="00307CAB">
        <w:tc>
          <w:tcPr>
            <w:tcW w:w="1201" w:type="dxa"/>
          </w:tcPr>
          <w:p w14:paraId="32943D68"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Primer</w:t>
            </w:r>
          </w:p>
        </w:tc>
        <w:tc>
          <w:tcPr>
            <w:tcW w:w="3756" w:type="dxa"/>
          </w:tcPr>
          <w:p w14:paraId="7C0491B9"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bases</w:t>
            </w:r>
          </w:p>
        </w:tc>
        <w:tc>
          <w:tcPr>
            <w:tcW w:w="1134" w:type="dxa"/>
          </w:tcPr>
          <w:p w14:paraId="56576955"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PCR</w:t>
            </w:r>
          </w:p>
        </w:tc>
        <w:tc>
          <w:tcPr>
            <w:tcW w:w="992" w:type="dxa"/>
          </w:tcPr>
          <w:p w14:paraId="7270B6C5" w14:textId="77777777" w:rsidR="005C5D3B" w:rsidRPr="009E7A40" w:rsidRDefault="005C5D3B" w:rsidP="00307CAB">
            <w:pPr>
              <w:rPr>
                <w:rFonts w:ascii="Arial" w:eastAsia="Times New Roman" w:hAnsi="Arial" w:cs="Arial"/>
                <w:sz w:val="16"/>
                <w:szCs w:val="16"/>
                <w:lang w:val="fr-FR" w:eastAsia="de-DE"/>
              </w:rPr>
            </w:pPr>
            <w:proofErr w:type="spellStart"/>
            <w:r w:rsidRPr="009E7A40">
              <w:rPr>
                <w:rFonts w:ascii="Arial" w:eastAsia="Times New Roman" w:hAnsi="Arial" w:cs="Arial"/>
                <w:sz w:val="16"/>
                <w:szCs w:val="16"/>
                <w:lang w:val="fr-FR" w:eastAsia="de-DE"/>
              </w:rPr>
              <w:t>seq</w:t>
            </w:r>
            <w:proofErr w:type="spellEnd"/>
            <w:r w:rsidRPr="009E7A40">
              <w:rPr>
                <w:rFonts w:ascii="Arial" w:eastAsia="Times New Roman" w:hAnsi="Arial" w:cs="Arial"/>
                <w:sz w:val="16"/>
                <w:szCs w:val="16"/>
                <w:lang w:val="fr-FR" w:eastAsia="de-DE"/>
              </w:rPr>
              <w:t>.</w:t>
            </w:r>
          </w:p>
        </w:tc>
        <w:tc>
          <w:tcPr>
            <w:tcW w:w="2126" w:type="dxa"/>
          </w:tcPr>
          <w:p w14:paraId="69209C0D" w14:textId="77777777" w:rsidR="005C5D3B" w:rsidRPr="009E7A40" w:rsidRDefault="005C5D3B" w:rsidP="00307CAB">
            <w:pPr>
              <w:rPr>
                <w:rFonts w:ascii="Arial" w:eastAsia="Times New Roman" w:hAnsi="Arial" w:cs="Arial"/>
                <w:sz w:val="16"/>
                <w:szCs w:val="16"/>
                <w:lang w:val="fr-FR" w:eastAsia="de-DE"/>
              </w:rPr>
            </w:pPr>
            <w:proofErr w:type="spellStart"/>
            <w:r w:rsidRPr="009E7A40">
              <w:rPr>
                <w:rFonts w:ascii="Arial" w:eastAsia="Times New Roman" w:hAnsi="Arial" w:cs="Arial"/>
                <w:sz w:val="16"/>
                <w:szCs w:val="16"/>
                <w:lang w:val="fr-FR" w:eastAsia="de-DE"/>
              </w:rPr>
              <w:t>Literature</w:t>
            </w:r>
            <w:proofErr w:type="spellEnd"/>
          </w:p>
        </w:tc>
      </w:tr>
      <w:tr w:rsidR="005C5D3B" w:rsidRPr="009E7A40" w14:paraId="4858D47C" w14:textId="77777777" w:rsidTr="00307CAB">
        <w:tc>
          <w:tcPr>
            <w:tcW w:w="1201" w:type="dxa"/>
          </w:tcPr>
          <w:p w14:paraId="2403F8D0"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LCO1490</w:t>
            </w:r>
          </w:p>
        </w:tc>
        <w:tc>
          <w:tcPr>
            <w:tcW w:w="3756" w:type="dxa"/>
          </w:tcPr>
          <w:p w14:paraId="476D1190"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5'-GGTCAACAAATCATAAAGATATTGG-3’</w:t>
            </w:r>
          </w:p>
        </w:tc>
        <w:tc>
          <w:tcPr>
            <w:tcW w:w="1134" w:type="dxa"/>
          </w:tcPr>
          <w:p w14:paraId="3E479E86"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5C995305"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2126" w:type="dxa"/>
          </w:tcPr>
          <w:p w14:paraId="0112C694"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{"citationID":"B9G2zO9m","properties":{"formattedCitation":"(Folmer {\\i{}et al.} 1994)","plainCitation":"(Folmer et al. 1994)","noteIndex":0},"citationItems":[{"id":"5tILPP4K/DQR1zsHG","uris":["http://zotero.org/users/local/Us0k2a4O/items/VMBF5C8S",["http://zotero.org/users/local/Us0k2a4O/items/VMBF5C8S"]],"itemData":{"id":286,"type":"article-journal","title":"DNA primers for amplification of mitochondrial cytochrome &lt;i&gt;c&lt;/i&gt; oxidase subunit I from diverse metazoan invertebrates","container-title":"Molecular Marine Biology and Biotechnology","page":"294-299","volume":"3","issue":"5","abstract":"We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levels.","journalAbbreviation":"Mol. Mar. Biol. Biotechnol.","author":[{"family":"Folmer","given":"O."},{"family":"Black","given":"M."},{"family":"Hoeh","given":"W."},{"family":"Lutz","given":"R."},{"family":"Vrijenhoek","given":"R."}],"issued":{"date-parts":[["1994"]]}}}],"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 xml:space="preserve">(Folmer </w:t>
            </w:r>
            <w:r w:rsidRPr="005C5D3B">
              <w:rPr>
                <w:rFonts w:ascii="Arial" w:hAnsi="Arial" w:cs="Arial"/>
                <w:i/>
                <w:iCs/>
                <w:sz w:val="16"/>
                <w:szCs w:val="24"/>
              </w:rPr>
              <w:t>et al.</w:t>
            </w:r>
            <w:r w:rsidRPr="005C5D3B">
              <w:rPr>
                <w:rFonts w:ascii="Arial" w:hAnsi="Arial" w:cs="Arial"/>
                <w:sz w:val="16"/>
                <w:szCs w:val="24"/>
              </w:rPr>
              <w:t xml:space="preserve"> 1994)</w:t>
            </w:r>
            <w:r w:rsidRPr="009E7A40">
              <w:rPr>
                <w:rFonts w:ascii="Arial" w:eastAsia="Times New Roman" w:hAnsi="Arial" w:cs="Arial"/>
                <w:sz w:val="16"/>
                <w:szCs w:val="16"/>
                <w:lang w:eastAsia="de-DE"/>
              </w:rPr>
              <w:fldChar w:fldCharType="end"/>
            </w:r>
          </w:p>
        </w:tc>
      </w:tr>
      <w:tr w:rsidR="005C5D3B" w:rsidRPr="009E7A40" w14:paraId="15E4E7A5" w14:textId="77777777" w:rsidTr="00307CAB">
        <w:tc>
          <w:tcPr>
            <w:tcW w:w="1201" w:type="dxa"/>
          </w:tcPr>
          <w:p w14:paraId="12DC8626"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HCO2198</w:t>
            </w:r>
          </w:p>
        </w:tc>
        <w:tc>
          <w:tcPr>
            <w:tcW w:w="3756" w:type="dxa"/>
          </w:tcPr>
          <w:p w14:paraId="31130A5D"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5'-TAAACTTCAGGGTGACCAAAAAAT CA-3’</w:t>
            </w:r>
          </w:p>
        </w:tc>
        <w:tc>
          <w:tcPr>
            <w:tcW w:w="1134" w:type="dxa"/>
          </w:tcPr>
          <w:p w14:paraId="42817238"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7B079F6A"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 xml:space="preserve">x </w:t>
            </w:r>
          </w:p>
        </w:tc>
        <w:tc>
          <w:tcPr>
            <w:tcW w:w="2126" w:type="dxa"/>
          </w:tcPr>
          <w:p w14:paraId="6E7B93E0"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{"citationID":"Yyn1yFSM","properties":{"formattedCitation":"(Folmer {\\i{}et al.} 1994)","plainCitation":"(Folmer et al. 1994)","noteIndex":0},"citationItems":[{"id":"5tILPP4K/DQR1zsHG","uris":["http://zotero.org/users/local/Us0k2a4O/items/VMBF5C8S",["http://zotero.org/users/local/Us0k2a4O/items/VMBF5C8S"]],"itemData":{"id":286,"type":"article-journal","title":"DNA primers for amplification of mitochondrial cytochrome &lt;i&gt;c&lt;/i&gt; oxidase subunit I from diverse metazoan invertebrates","container-title":"Molecular Marine Biology and Biotechnology","page":"294-299","volume":"3","issue":"5","abstract":"We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levels.","journalAbbreviation":"Mol. Mar. Biol. Biotechnol.","author":[{"family":"Folmer","given":"O."},{"family":"Black","given":"M."},{"family":"Hoeh","given":"W."},{"family":"Lutz","given":"R."},{"family":"Vrijenhoek","given":"R."}],"issued":{"date-parts":[["1994"]]}}}],"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 xml:space="preserve">(Folmer </w:t>
            </w:r>
            <w:r w:rsidRPr="005C5D3B">
              <w:rPr>
                <w:rFonts w:ascii="Arial" w:hAnsi="Arial" w:cs="Arial"/>
                <w:i/>
                <w:iCs/>
                <w:sz w:val="16"/>
                <w:szCs w:val="24"/>
              </w:rPr>
              <w:t>et al.</w:t>
            </w:r>
            <w:r w:rsidRPr="005C5D3B">
              <w:rPr>
                <w:rFonts w:ascii="Arial" w:hAnsi="Arial" w:cs="Arial"/>
                <w:sz w:val="16"/>
                <w:szCs w:val="24"/>
              </w:rPr>
              <w:t xml:space="preserve"> 1994)</w:t>
            </w:r>
            <w:r w:rsidRPr="009E7A40">
              <w:rPr>
                <w:rFonts w:ascii="Arial" w:eastAsia="Times New Roman" w:hAnsi="Arial" w:cs="Arial"/>
                <w:sz w:val="16"/>
                <w:szCs w:val="16"/>
                <w:lang w:eastAsia="de-DE"/>
              </w:rPr>
              <w:fldChar w:fldCharType="end"/>
            </w:r>
          </w:p>
        </w:tc>
      </w:tr>
      <w:tr w:rsidR="005C5D3B" w:rsidRPr="009E7A40" w14:paraId="0E202EB4" w14:textId="77777777" w:rsidTr="00307CAB">
        <w:tc>
          <w:tcPr>
            <w:tcW w:w="1201" w:type="dxa"/>
          </w:tcPr>
          <w:p w14:paraId="099774BE"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 xml:space="preserve">LCO1490-JJ </w:t>
            </w:r>
          </w:p>
        </w:tc>
        <w:tc>
          <w:tcPr>
            <w:tcW w:w="3756" w:type="dxa"/>
          </w:tcPr>
          <w:p w14:paraId="126661A9"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5'-CHACWAAYCATAAAGATATYGG-3'</w:t>
            </w:r>
          </w:p>
        </w:tc>
        <w:tc>
          <w:tcPr>
            <w:tcW w:w="1134" w:type="dxa"/>
          </w:tcPr>
          <w:p w14:paraId="7CBD528E"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0614FA57"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2126" w:type="dxa"/>
          </w:tcPr>
          <w:p w14:paraId="6DD48C88"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{"citationID":"qEZ6xmJw","properties":{"formattedCitation":"(Astrin &amp; St\\uc0\\u252{}ben 2008)","plainCitation":"(Astrin &amp; Stüben 2008)","noteIndex":0},"citationItems":[{"id":"5tILPP4K/DajSXz17","uris":["http://zotero.org/users/local/Us0k2a4O/items/H7CAEV3R",["http://zotero.org/users/local/Us0k2a4O/items/H7CAEV3R"]],"itemData":{"id":415,"type":"article-journal","title":"Phylogeny in cryptic weevils: molecules, morphology and new genera of western Palaearctic Cryptorhynchinae (Coleoptera:Curculionidae)","container-title":"Invertebrate Systematics","page":"503","volume":"22","issue":"5","source":"DOI.org (Crossref)","abstract":"A phylogeny is presented for the western Palaearctic representatives of the weevil subfamily Cryptorhynchinae using a combination of phenotypic and genotypic characters. This phylogeny is the first for the extremely species-rich Cryptorhynchinae to use molecular data (mitochondrial CO1 and 16S as well as nuclear ribosomal 28S). The results of this study show the need for molecular tools within this morphologically cryptic group of weevils and provide a scaffold based on which genus assignment can be tested. The present study mostly corroborates the current subdivision into genera (but many of the subgeneric groups are questioned). Three new genera are described: Montanacalles gen. nov. (type species: Kyklioacalles nevadaensis Stüben, 2001), Coloracalles gen. nov. (type species: Acalles humerosus Fairmaire, 1862) and Elliptacalles gen. nov. (type species: Acalles longus Desbrochers, 1892). Relevant external characters and the male genitalia of all discussed taxa are illustrated. Three species are transferred to different genera: Kyklioacalles aubei (Boheman, 1837) (formerly: Acalles), Ruteria major (Solari A. &amp; F., 1907) and Ruteria minosi (Bahr &amp; Bayer, 2005) (both formerly Echinodera).","DOI":"10.1071/IS07057","ISSN":"1445-5226","title-short":"Phylogeny in cryptic weevils","journalAbbreviation":"Invert. Systematics","language":"en","author":[{"family":"Astrin","given":"Jonas J."},{"family":"Stüben","given":"Peter E."}],"issued":{"date-parts":[["2008"]]}}}],"schema":"https://github.com/citation-style-language/schema/raw/master/csl-citation.json"}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(Astrin &amp; Stüben 2008)</w:t>
            </w:r>
            <w:r w:rsidRPr="009E7A40">
              <w:rPr>
                <w:rFonts w:ascii="Arial" w:eastAsia="Times New Roman" w:hAnsi="Arial" w:cs="Arial"/>
                <w:sz w:val="16"/>
                <w:szCs w:val="16"/>
                <w:lang w:eastAsia="de-DE"/>
              </w:rPr>
              <w:fldChar w:fldCharType="end"/>
            </w:r>
          </w:p>
        </w:tc>
      </w:tr>
      <w:tr w:rsidR="005C5D3B" w:rsidRPr="009E7A40" w14:paraId="63F26DBE" w14:textId="77777777" w:rsidTr="00307CAB">
        <w:tc>
          <w:tcPr>
            <w:tcW w:w="1201" w:type="dxa"/>
          </w:tcPr>
          <w:p w14:paraId="03AC5515"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 xml:space="preserve">HCO2198-JJ </w:t>
            </w:r>
          </w:p>
        </w:tc>
        <w:tc>
          <w:tcPr>
            <w:tcW w:w="3756" w:type="dxa"/>
          </w:tcPr>
          <w:p w14:paraId="0548C81F"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 xml:space="preserve">5'-AWACTTCVGGRTGVCCAAARAATCA-3' </w:t>
            </w:r>
          </w:p>
        </w:tc>
        <w:tc>
          <w:tcPr>
            <w:tcW w:w="1134" w:type="dxa"/>
          </w:tcPr>
          <w:p w14:paraId="5431F74C"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1BE8F4A1"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2126" w:type="dxa"/>
          </w:tcPr>
          <w:p w14:paraId="52FD8C0B"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{"citationID":"Wxq8wgbr","properties":{"formattedCitation":"(Astrin &amp; St\\uc0\\u252{}ben 2008)","plainCitation":"(Astrin &amp; Stüben 2008)","noteIndex":0},"citationItems":[{"id":"5tILPP4K/DajSXz17","uris":["http://zotero.org/users/local/Us0k2a4O/items/H7CAEV3R",["http://zotero.org/users/local/Us0k2a4O/items/H7CAEV3R"]],"itemData":{"id":415,"type":"article-journal","title":"Phylogeny in cryptic weevils: molecules, morphology and new genera of western Palaearctic Cryptorhynchinae (Coleoptera:Curculionidae)","container-title":"Invertebrate Systematics","page":"503","volume":"22","issue":"5","source":"DOI.org (Crossref)","abstract":"A phylogeny is presented for the western Palaearctic representatives of the weevil subfamily Cryptorhynchinae using a combination of phenotypic and genotypic characters. This phylogeny is the first for the extremely species-rich Cryptorhynchinae to use molecular data (mitochondrial CO1 and 16S as well as nuclear ribosomal 28S). The results of this study show the need for molecular tools within this morphologically cryptic group of weevils and provide a scaffold based on which genus assignment can be tested. The present study mostly corroborates the current subdivision into genera (but many of the subgeneric groups are questioned). Three new genera are described: Montanacalles gen. nov. (type species: Kyklioacalles nevadaensis Stüben, 2001), Coloracalles gen. nov. (type species: Acalles humerosus Fairmaire, 1862) and Elliptacalles gen. nov. (type species: Acalles longus Desbrochers, 1892). Relevant external characters and the male genitalia of all discussed taxa are illustrated. Three species are transferred to different genera: Kyklioacalles aubei (Boheman, 1837) (formerly: Acalles), Ruteria major (Solari A. &amp; F., 1907) and Ruteria minosi (Bahr &amp; Bayer, 2005) (both formerly Echinodera).","DOI":"10.1071/IS07057","ISSN":"1445-5226","title-short":"Phylogeny in cryptic weevils","journalAbbreviation":"Invert. Systematics","language":"en","author":[{"family":"Astrin","given":"Jonas J."},{"family":"Stüben","given":"Peter E."}],"issued":{"date-parts":[["2008"]]}}}],"schema":"https://github.com/citation-style-language/schema/raw/master/csl-citation.json"}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(Astrin &amp; Stüben 2008)</w:t>
            </w:r>
            <w:r w:rsidRPr="009E7A40">
              <w:rPr>
                <w:rFonts w:ascii="Arial" w:eastAsia="Times New Roman" w:hAnsi="Arial" w:cs="Arial"/>
                <w:sz w:val="16"/>
                <w:szCs w:val="16"/>
                <w:lang w:eastAsia="de-DE"/>
              </w:rPr>
              <w:fldChar w:fldCharType="end"/>
            </w:r>
          </w:p>
        </w:tc>
      </w:tr>
      <w:tr w:rsidR="005C5D3B" w:rsidRPr="009E7A40" w14:paraId="7FA9450E" w14:textId="77777777" w:rsidTr="00307CAB">
        <w:tc>
          <w:tcPr>
            <w:tcW w:w="1201" w:type="dxa"/>
          </w:tcPr>
          <w:p w14:paraId="6668F381" w14:textId="77777777" w:rsidR="005C5D3B" w:rsidRPr="009E7A40" w:rsidRDefault="005C5D3B" w:rsidP="00307CAB">
            <w:pPr>
              <w:rPr>
                <w:rFonts w:ascii="Arial" w:eastAsia="Times New Roman" w:hAnsi="Arial" w:cs="Arial"/>
                <w:sz w:val="16"/>
                <w:szCs w:val="16"/>
                <w:lang w:val="fr-FR" w:eastAsia="de-DE"/>
              </w:rPr>
            </w:pPr>
            <w:proofErr w:type="spellStart"/>
            <w:r w:rsidRPr="009E7A40">
              <w:rPr>
                <w:rFonts w:ascii="Arial" w:eastAsia="Times New Roman" w:hAnsi="Arial" w:cs="Arial"/>
                <w:sz w:val="16"/>
                <w:szCs w:val="16"/>
                <w:lang w:val="fr-FR" w:eastAsia="de-DE"/>
              </w:rPr>
              <w:t>Niph</w:t>
            </w:r>
            <w:proofErr w:type="spellEnd"/>
            <w:r w:rsidRPr="009E7A40">
              <w:rPr>
                <w:rFonts w:ascii="Arial" w:eastAsia="Times New Roman" w:hAnsi="Arial" w:cs="Arial"/>
                <w:sz w:val="16"/>
                <w:szCs w:val="16"/>
                <w:lang w:val="fr-FR" w:eastAsia="de-DE"/>
              </w:rPr>
              <w:t xml:space="preserve"> 15    </w:t>
            </w:r>
          </w:p>
        </w:tc>
        <w:tc>
          <w:tcPr>
            <w:tcW w:w="3756" w:type="dxa"/>
          </w:tcPr>
          <w:p w14:paraId="635281C4"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5'-CAA GTA CCG TGA GGG AAA GTT-3'</w:t>
            </w:r>
          </w:p>
        </w:tc>
        <w:tc>
          <w:tcPr>
            <w:tcW w:w="1134" w:type="dxa"/>
          </w:tcPr>
          <w:p w14:paraId="6F49173D"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620D7399" w14:textId="77777777" w:rsidR="005C5D3B" w:rsidRPr="009E7A40" w:rsidRDefault="005C5D3B" w:rsidP="00307CAB">
            <w:pPr>
              <w:rPr>
                <w:rFonts w:ascii="Arial" w:eastAsia="Times New Roman" w:hAnsi="Arial" w:cs="Arial"/>
                <w:sz w:val="16"/>
                <w:szCs w:val="16"/>
                <w:lang w:val="fr-FR" w:eastAsia="de-DE"/>
              </w:rPr>
            </w:pPr>
            <w:r>
              <w:rPr>
                <w:rFonts w:ascii="Arial" w:eastAsia="Times New Roman" w:hAnsi="Arial" w:cs="Arial"/>
                <w:sz w:val="16"/>
                <w:szCs w:val="16"/>
                <w:lang w:val="fr-FR" w:eastAsia="de-DE"/>
              </w:rPr>
              <w:t>x</w:t>
            </w:r>
          </w:p>
        </w:tc>
        <w:tc>
          <w:tcPr>
            <w:tcW w:w="2126" w:type="dxa"/>
          </w:tcPr>
          <w:p w14:paraId="391898C3"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{"citationID":"pN2LZO44","properties":{"formattedCitation":"(Verovnik {\\i{}et al.} 2005)","plainCitation":"(Verovnik et al. 2005)","noteIndex":0},"citationItems":[{"id":"5tILPP4K/C8sky4iW","uris":["http://zotero.org/users/local/Us0k2a4O/items/AZVR2K8T",["http://zotero.org/users/local/Us0k2a4O/items/AZVR2K8T"]],"itemData":{"id":413,"type":"article-journal","title":"The colonization of Europe by the freshwater crustacean Asellus aquaticus (Crustacea: Isopoda) proceeded from ancient refugia and was directed by habitat connectivity: COLONIZATION OF EUROPE BY ASELLUS AQUATICUS","container-title":"Molecular Ecology","page":"4355-4369","volume":"14","issue":"14","source":"DOI.org (Crossref)","DOI":"10.1111/j.1365-294X.2005.02745.x","ISSN":"09621083, 1365294X","title-short":"The colonization of Europe by the freshwater crustacean Asellus aquaticus (Crustacea","language":"en","author":[{"family":"Verovnik","given":"R."},{"family":"Sket","given":"B."},{"family":"Trontelj","given":"P."}],"issued":{"date-parts":[["2005",10,3]]}}}],"schema":"https://github.com/citation-style-language/schema/raw/master/csl-citation.json"}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 xml:space="preserve">(Verovnik </w:t>
            </w:r>
            <w:r w:rsidRPr="005C5D3B">
              <w:rPr>
                <w:rFonts w:ascii="Arial" w:hAnsi="Arial" w:cs="Arial"/>
                <w:i/>
                <w:iCs/>
                <w:sz w:val="16"/>
                <w:szCs w:val="24"/>
              </w:rPr>
              <w:t>et al.</w:t>
            </w:r>
            <w:r w:rsidRPr="005C5D3B">
              <w:rPr>
                <w:rFonts w:ascii="Arial" w:hAnsi="Arial" w:cs="Arial"/>
                <w:sz w:val="16"/>
                <w:szCs w:val="24"/>
              </w:rPr>
              <w:t xml:space="preserve"> 2005)</w:t>
            </w:r>
            <w:r w:rsidRPr="009E7A40">
              <w:rPr>
                <w:rFonts w:ascii="Arial" w:eastAsia="Times New Roman" w:hAnsi="Arial" w:cs="Arial"/>
                <w:sz w:val="16"/>
                <w:szCs w:val="16"/>
                <w:lang w:eastAsia="de-DE"/>
              </w:rPr>
              <w:fldChar w:fldCharType="end"/>
            </w:r>
          </w:p>
        </w:tc>
      </w:tr>
      <w:tr w:rsidR="005C5D3B" w:rsidRPr="009E7A40" w14:paraId="1BFB3F06" w14:textId="77777777" w:rsidTr="00307CAB">
        <w:tc>
          <w:tcPr>
            <w:tcW w:w="1201" w:type="dxa"/>
          </w:tcPr>
          <w:p w14:paraId="1BCB3096" w14:textId="77777777" w:rsidR="005C5D3B" w:rsidRPr="009E7A40" w:rsidRDefault="005C5D3B" w:rsidP="00307CAB">
            <w:pPr>
              <w:rPr>
                <w:rFonts w:ascii="Arial" w:eastAsia="Times New Roman" w:hAnsi="Arial" w:cs="Arial"/>
                <w:sz w:val="16"/>
                <w:szCs w:val="16"/>
                <w:lang w:val="fr-FR" w:eastAsia="de-DE"/>
              </w:rPr>
            </w:pPr>
            <w:proofErr w:type="spellStart"/>
            <w:r w:rsidRPr="009E7A40">
              <w:rPr>
                <w:rFonts w:ascii="Arial" w:eastAsia="Times New Roman" w:hAnsi="Arial" w:cs="Arial"/>
                <w:sz w:val="16"/>
                <w:szCs w:val="16"/>
                <w:lang w:val="fr-FR" w:eastAsia="de-DE"/>
              </w:rPr>
              <w:t>Niph</w:t>
            </w:r>
            <w:proofErr w:type="spellEnd"/>
            <w:r w:rsidRPr="009E7A40">
              <w:rPr>
                <w:rFonts w:ascii="Arial" w:eastAsia="Times New Roman" w:hAnsi="Arial" w:cs="Arial"/>
                <w:sz w:val="16"/>
                <w:szCs w:val="16"/>
                <w:lang w:val="fr-FR" w:eastAsia="de-DE"/>
              </w:rPr>
              <w:t xml:space="preserve"> 15i</w:t>
            </w:r>
          </w:p>
        </w:tc>
        <w:tc>
          <w:tcPr>
            <w:tcW w:w="3756" w:type="dxa"/>
          </w:tcPr>
          <w:p w14:paraId="5D139FC4"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5'-AGA GTC AAA AGA CCG TGA AACC-3'</w:t>
            </w:r>
          </w:p>
        </w:tc>
        <w:tc>
          <w:tcPr>
            <w:tcW w:w="1134" w:type="dxa"/>
          </w:tcPr>
          <w:p w14:paraId="54E501A9" w14:textId="77777777" w:rsidR="005C5D3B" w:rsidRPr="009E7A40" w:rsidRDefault="005C5D3B" w:rsidP="00307CAB">
            <w:pPr>
              <w:rPr>
                <w:rFonts w:ascii="Arial" w:eastAsia="Times New Roman" w:hAnsi="Arial" w:cs="Arial"/>
                <w:sz w:val="16"/>
                <w:szCs w:val="16"/>
                <w:lang w:val="fr-FR" w:eastAsia="de-DE"/>
              </w:rPr>
            </w:pPr>
          </w:p>
        </w:tc>
        <w:tc>
          <w:tcPr>
            <w:tcW w:w="992" w:type="dxa"/>
          </w:tcPr>
          <w:p w14:paraId="707D99F7"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2126" w:type="dxa"/>
          </w:tcPr>
          <w:p w14:paraId="1D889650" w14:textId="77777777" w:rsidR="005C5D3B" w:rsidRPr="009E7A40" w:rsidRDefault="005C5D3B" w:rsidP="00307CAB">
            <w:pPr>
              <w:rPr>
                <w:rFonts w:ascii="Arial" w:eastAsia="Times New Roman" w:hAnsi="Arial" w:cs="Arial"/>
                <w:sz w:val="16"/>
                <w:szCs w:val="16"/>
                <w:lang w:val="fr-FR" w:eastAsia="de-DE"/>
              </w:rPr>
            </w:pPr>
            <w:r>
              <w:rPr>
                <w:rFonts w:ascii="Arial" w:eastAsia="Times New Roman" w:hAnsi="Arial" w:cs="Arial"/>
                <w:sz w:val="16"/>
                <w:szCs w:val="16"/>
                <w:lang w:val="fr-FR" w:eastAsia="de-DE"/>
              </w:rPr>
              <w:fldChar w:fldCharType="begin"/>
            </w:r>
            <w:r>
              <w:rPr>
                <w:rFonts w:ascii="Arial" w:eastAsia="Times New Roman" w:hAnsi="Arial" w:cs="Arial"/>
                <w:sz w:val="16"/>
                <w:szCs w:val="16"/>
                <w:lang w:val="fr-FR" w:eastAsia="de-DE"/>
              </w:rPr>
              <w:instrText xml:space="preserve"> ADDIN ZOTERO_ITEM CSL_CITATION {"citationID":"rhqKLM17","properties":{"formattedCitation":"(Weber {\\i{}et al.} 2023)","plainCitation":"(Weber et al. 2023)","noteIndex":0},"citationItems":[{"id":2112,"uris":["http://zotero.org/users/local/snSnCIR8/items/H5PPP9WK"],"itemData":{"id":2112,"type":"report","abstract":"As for many other groups, patterns of biodiversity for subter-ranean crustaceans in Europe indicate larger morphospecies ranges at higher latitudes (the so-called Rapoport effect). However, this observed correlation may be artefactual if many of those high-latitude, widely distributed morphospecies are actually species complexes. To test this hypothesis, we looked for previously undetected species boundaries within\n            Niphargus aquilex\n            and\n            Niphargus schellenbergi\n            , two closely related morphospecies of groundwater amphipods widely distributed in northern Europe, by sequencing fragments of the mitochondrial cytochrome\n            c\n            oxidase subunit I gene (COI) and of the nuclear 28S ribosomal RNA gene of 198 individuals collected across their area of distribution. Distance-based and allele sharing-based species delimitation approaches were congruent in revealing the existence of at least eight species within\n            N. aquilex\n            and at least two species with\n            N. schellenbergi\n            . Our data demonstrate that these two common morphospecies with large ranges are actually complexes of species with narrower distributions, suggesting that the Rapoport effect might be the result of increased morphological stasis at high latitudes rather than actual differences in sizes of distribution ranges.","genre":"preprint","language":"en","note":"DOI: 10.1101/2023.08.13.553147","publisher":"Zoology","source":"DOI.org (Crossref)","title":"Water diviners multiplied: cryptic diversity in the &lt;i&gt;Niphargus aquilex&lt;/i&gt; species complex in Northern Europe","title-short":"Water diviners multiplied","URL":"http://biorxiv.org/lookup/doi/10.1101/2023.08.13.553147","author":[{"family":"Weber","given":"Dieter"},{"family":"Brad","given":"Traian"},{"family":"Weigand","given":"Alexander"},{"family":"Flot","given":"Jean-François"}],"accessed":{"date-parts":[["2023",9,26]]},"issued":{"date-parts":[["2023",8,15]]}}}],"schema":"https://github.com/citation-style-language/schema/raw/master/csl-citation.json"} </w:instrText>
            </w:r>
            <w:r>
              <w:rPr>
                <w:rFonts w:ascii="Arial" w:eastAsia="Times New Roman" w:hAnsi="Arial" w:cs="Arial"/>
                <w:sz w:val="16"/>
                <w:szCs w:val="16"/>
                <w:lang w:val="fr-FR" w:eastAsia="de-DE"/>
              </w:rPr>
              <w:fldChar w:fldCharType="separate"/>
            </w:r>
            <w:r w:rsidRPr="005C5D3B">
              <w:rPr>
                <w:rFonts w:ascii="Arial" w:hAnsi="Arial" w:cs="Arial"/>
                <w:sz w:val="16"/>
                <w:szCs w:val="24"/>
              </w:rPr>
              <w:t xml:space="preserve">(Weber </w:t>
            </w:r>
            <w:r w:rsidRPr="005C5D3B">
              <w:rPr>
                <w:rFonts w:ascii="Arial" w:hAnsi="Arial" w:cs="Arial"/>
                <w:i/>
                <w:iCs/>
                <w:sz w:val="16"/>
                <w:szCs w:val="24"/>
              </w:rPr>
              <w:t>et al.</w:t>
            </w:r>
            <w:r w:rsidRPr="005C5D3B">
              <w:rPr>
                <w:rFonts w:ascii="Arial" w:hAnsi="Arial" w:cs="Arial"/>
                <w:sz w:val="16"/>
                <w:szCs w:val="24"/>
              </w:rPr>
              <w:t xml:space="preserve"> 2023)</w:t>
            </w:r>
            <w:r>
              <w:rPr>
                <w:rFonts w:ascii="Arial" w:eastAsia="Times New Roman" w:hAnsi="Arial" w:cs="Arial"/>
                <w:sz w:val="16"/>
                <w:szCs w:val="16"/>
                <w:lang w:val="fr-FR" w:eastAsia="de-DE"/>
              </w:rPr>
              <w:fldChar w:fldCharType="end"/>
            </w:r>
          </w:p>
        </w:tc>
      </w:tr>
      <w:tr w:rsidR="005C5D3B" w:rsidRPr="009E7A40" w14:paraId="68B1D5B3" w14:textId="77777777" w:rsidTr="00307CAB">
        <w:tc>
          <w:tcPr>
            <w:tcW w:w="1201" w:type="dxa"/>
          </w:tcPr>
          <w:p w14:paraId="10AD995B" w14:textId="77777777" w:rsidR="005C5D3B" w:rsidRPr="009E7A40" w:rsidRDefault="005C5D3B" w:rsidP="00307CAB">
            <w:pPr>
              <w:rPr>
                <w:rFonts w:ascii="Arial" w:eastAsia="Times New Roman" w:hAnsi="Arial" w:cs="Arial"/>
                <w:sz w:val="16"/>
                <w:szCs w:val="16"/>
                <w:lang w:val="fr-FR" w:eastAsia="de-DE"/>
              </w:rPr>
            </w:pPr>
            <w:proofErr w:type="spellStart"/>
            <w:r w:rsidRPr="009E7A40">
              <w:rPr>
                <w:rFonts w:ascii="Arial" w:eastAsia="Times New Roman" w:hAnsi="Arial" w:cs="Arial"/>
                <w:sz w:val="16"/>
                <w:szCs w:val="16"/>
                <w:lang w:val="fr-FR" w:eastAsia="de-DE"/>
              </w:rPr>
              <w:t>Niph</w:t>
            </w:r>
            <w:proofErr w:type="spellEnd"/>
            <w:r w:rsidRPr="009E7A40">
              <w:rPr>
                <w:rFonts w:ascii="Arial" w:eastAsia="Times New Roman" w:hAnsi="Arial" w:cs="Arial"/>
                <w:sz w:val="16"/>
                <w:szCs w:val="16"/>
                <w:lang w:val="fr-FR" w:eastAsia="de-DE"/>
              </w:rPr>
              <w:t xml:space="preserve"> 16  </w:t>
            </w:r>
          </w:p>
        </w:tc>
        <w:tc>
          <w:tcPr>
            <w:tcW w:w="3756" w:type="dxa"/>
          </w:tcPr>
          <w:p w14:paraId="6EE0F92B"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5'-AGG GAA ACT TCG GAG GGA ACC-3'</w:t>
            </w:r>
          </w:p>
        </w:tc>
        <w:tc>
          <w:tcPr>
            <w:tcW w:w="1134" w:type="dxa"/>
          </w:tcPr>
          <w:p w14:paraId="47C3E0E7"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val="fr-FR" w:eastAsia="de-DE"/>
              </w:rPr>
              <w:t>x</w:t>
            </w:r>
          </w:p>
        </w:tc>
        <w:tc>
          <w:tcPr>
            <w:tcW w:w="992" w:type="dxa"/>
          </w:tcPr>
          <w:p w14:paraId="4097E88B" w14:textId="77777777" w:rsidR="005C5D3B" w:rsidRPr="009E7A40" w:rsidRDefault="005C5D3B" w:rsidP="00307CAB">
            <w:pPr>
              <w:rPr>
                <w:rFonts w:ascii="Arial" w:eastAsia="Times New Roman" w:hAnsi="Arial" w:cs="Arial"/>
                <w:sz w:val="16"/>
                <w:szCs w:val="16"/>
                <w:lang w:val="fr-FR" w:eastAsia="de-DE"/>
              </w:rPr>
            </w:pPr>
          </w:p>
        </w:tc>
        <w:tc>
          <w:tcPr>
            <w:tcW w:w="2126" w:type="dxa"/>
          </w:tcPr>
          <w:p w14:paraId="1EC0E22F" w14:textId="77777777" w:rsidR="005C5D3B" w:rsidRPr="009E7A40" w:rsidRDefault="005C5D3B" w:rsidP="00307CAB">
            <w:pPr>
              <w:rPr>
                <w:rFonts w:ascii="Arial" w:eastAsia="Times New Roman" w:hAnsi="Arial" w:cs="Arial"/>
                <w:sz w:val="16"/>
                <w:szCs w:val="16"/>
                <w:lang w:val="fr-FR"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val="fr-FR" w:eastAsia="de-DE"/>
              </w:rPr>
              <w:instrText xml:space="preserve"> ADDIN ZOTERO_ITEM CSL_CITATION {"citationID":"dYj7WBeW","properties":{"formattedCitation":"(Verovnik {\\i{}et al.} 2005)","plainCitation":"(Verovnik et al. 2005)","noteIndex":0},"citationItems":[{"id":"5tILPP4K/C8sky4iW","uris":["http://zotero.org/users/local/Us0k2a4O/items/AZVR2K8T",["http://zotero.org/users/local/Us0k2a4O/items/AZVR2K8T"]],"itemData":{"id":413,"type":"article-journal","title":"The colonization of Europe by the freshwater crustacean Asellus aquaticus (Crustacea: Isopoda) proceeded from ancient refugia and was directed by habitat connectivity: COLONIZATION OF EUROPE BY ASELLUS AQUATICUS","container-title":"Molecular Ecology","page":"4355-4369","volume":"14","issue":"14","source":"DOI.org (Crossref)","DOI":"10.1111/j.1365-294X.2005.02745.x","ISSN":"09621083, 1365294X","title-short":"The colonization of Europe by the freshwater crustacean Asellus aquaticus (Crustacea","language":"en","author":[{"family":"Verovnik","given":"R."},{"family":"Sket","given":"B."},{"family":"Trontelj","given":"P."}],"issued":{"date-parts":[["2005",10,3]]}}}],"schema":"https://github.com/citation-style-language/schema/raw/master/csl-citation.json"}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 xml:space="preserve">(Verovnik </w:t>
            </w:r>
            <w:r w:rsidRPr="005C5D3B">
              <w:rPr>
                <w:rFonts w:ascii="Arial" w:hAnsi="Arial" w:cs="Arial"/>
                <w:i/>
                <w:iCs/>
                <w:sz w:val="16"/>
                <w:szCs w:val="24"/>
              </w:rPr>
              <w:t>et al.</w:t>
            </w:r>
            <w:r w:rsidRPr="005C5D3B">
              <w:rPr>
                <w:rFonts w:ascii="Arial" w:hAnsi="Arial" w:cs="Arial"/>
                <w:sz w:val="16"/>
                <w:szCs w:val="24"/>
              </w:rPr>
              <w:t xml:space="preserve"> 2005)</w:t>
            </w:r>
            <w:r w:rsidRPr="009E7A40">
              <w:rPr>
                <w:rFonts w:ascii="Arial" w:eastAsia="Times New Roman" w:hAnsi="Arial" w:cs="Arial"/>
                <w:sz w:val="16"/>
                <w:szCs w:val="16"/>
                <w:lang w:eastAsia="de-DE"/>
              </w:rPr>
              <w:fldChar w:fldCharType="end"/>
            </w:r>
          </w:p>
        </w:tc>
      </w:tr>
      <w:tr w:rsidR="005C5D3B" w:rsidRPr="009E7A40" w14:paraId="7D531803" w14:textId="77777777" w:rsidTr="00307CAB">
        <w:tc>
          <w:tcPr>
            <w:tcW w:w="1201" w:type="dxa"/>
          </w:tcPr>
          <w:p w14:paraId="09602FD0" w14:textId="77777777" w:rsidR="005C5D3B" w:rsidRPr="009E7A40" w:rsidRDefault="005C5D3B" w:rsidP="00307CAB">
            <w:pPr>
              <w:rPr>
                <w:rFonts w:ascii="Arial" w:eastAsia="Times New Roman" w:hAnsi="Arial" w:cs="Arial"/>
                <w:sz w:val="16"/>
                <w:szCs w:val="16"/>
                <w:lang w:eastAsia="de-DE"/>
              </w:rPr>
            </w:pPr>
            <w:proofErr w:type="spellStart"/>
            <w:r w:rsidRPr="009E7A40">
              <w:rPr>
                <w:rFonts w:ascii="Arial" w:eastAsia="Times New Roman" w:hAnsi="Arial" w:cs="Arial"/>
                <w:sz w:val="16"/>
                <w:szCs w:val="16"/>
                <w:lang w:eastAsia="de-DE"/>
              </w:rPr>
              <w:t>Niph</w:t>
            </w:r>
            <w:proofErr w:type="spellEnd"/>
            <w:r w:rsidRPr="009E7A40">
              <w:rPr>
                <w:rFonts w:ascii="Arial" w:eastAsia="Times New Roman" w:hAnsi="Arial" w:cs="Arial"/>
                <w:sz w:val="16"/>
                <w:szCs w:val="16"/>
                <w:lang w:eastAsia="de-DE"/>
              </w:rPr>
              <w:t xml:space="preserve"> 20   </w:t>
            </w:r>
          </w:p>
        </w:tc>
        <w:tc>
          <w:tcPr>
            <w:tcW w:w="3756" w:type="dxa"/>
          </w:tcPr>
          <w:p w14:paraId="4A16F4BC"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eastAsia="de-DE"/>
              </w:rPr>
              <w:t>5'-AAA CAC GGG CCA AGG AGT AT-3'</w:t>
            </w:r>
          </w:p>
        </w:tc>
        <w:tc>
          <w:tcPr>
            <w:tcW w:w="1134" w:type="dxa"/>
          </w:tcPr>
          <w:p w14:paraId="6DB7B6A5" w14:textId="77777777" w:rsidR="005C5D3B" w:rsidRPr="009E7A40" w:rsidRDefault="005C5D3B" w:rsidP="00307CAB">
            <w:pPr>
              <w:rPr>
                <w:rFonts w:ascii="Arial" w:eastAsia="Times New Roman" w:hAnsi="Arial" w:cs="Arial"/>
                <w:sz w:val="16"/>
                <w:szCs w:val="16"/>
                <w:lang w:eastAsia="de-DE"/>
              </w:rPr>
            </w:pPr>
          </w:p>
        </w:tc>
        <w:tc>
          <w:tcPr>
            <w:tcW w:w="992" w:type="dxa"/>
          </w:tcPr>
          <w:p w14:paraId="3BE6DCCA"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eastAsia="de-DE"/>
              </w:rPr>
              <w:t>x</w:t>
            </w:r>
          </w:p>
        </w:tc>
        <w:tc>
          <w:tcPr>
            <w:tcW w:w="2126" w:type="dxa"/>
          </w:tcPr>
          <w:p w14:paraId="22B10D2C"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val="fr-FR" w:eastAsia="de-DE"/>
              </w:rPr>
              <w:fldChar w:fldCharType="begin"/>
            </w:r>
            <w:r>
              <w:rPr>
                <w:rFonts w:ascii="Arial" w:eastAsia="Times New Roman" w:hAnsi="Arial" w:cs="Arial"/>
                <w:sz w:val="16"/>
                <w:szCs w:val="16"/>
                <w:lang w:eastAsia="de-DE"/>
              </w:rPr>
              <w:instrText xml:space="preserve"> ADDIN ZOTERO_ITEM CSL_CITATION {"citationID":"tkYE9Dxx","properties":{"formattedCitation":"(Flot {\\i{}et al.} 2010)","plainCitation":"(Flot et al. 2010)","noteIndex":0},"citationItems":[{"id":"5tILPP4K/PkTLVxiw","uris":["http://zotero.org/users/local/Us0k2a4O/items/LYUUTVBM",["http://zotero.org/users/local/Us0k2a4O/items/LYUUTVBM"]],"itemData":{"id":66,"type":"article-journal","title":"Unsuspected diversity of &lt;i&gt;Niphargus &lt;/i&gt;amphipods in the chemoautotrophic cave ecosystem of Frasassi, central Italy","container-title":"BMC Evolutionary Biology","page":"171","volume":"10","abstract":"BACKGROUND:The sulfide-rich Frasassi caves in central Italy contain a rare example of a freshwater ecosystem supported entirely by chemoautotrophy. Niphargus ictus, the sole amphipod species previously reported from this locality, was recently shown to host the first known case of a freshwater chemoautotrophic symbiosis. Since the habitat of N. ictus is highly fragmented and is comprised of streams and lakes with various sulfide concentrations, we conducted a detailed study to examine the potential genetic diversity of this species within Frasassi.RESULTS:By sequencing one nuclear (ITS) and two mitochondrial (COI and 12S) regions, we show that four partially sympatric Niphargus clades are present in Frasassi. Morphological and behavioral data obtained for three of these clades are perfectly congruent with this molecular delineation and make it possible to distinguish them in the field. Phylogenetic analyses of 28S ribosomal DNA sequences reveal that, among the four clades, only two are closely related to each other. Moreover, these four clades occupy distinct niches that seem to be related to the chemical properties and flow regimes of the various water bodies within Frasassi.CONCLUSIONS:Our results suggest that four distinct Niphargus species are present in Frasassi and that they originated from three or four independent invasions of the cave system. At least two among the four species harbor Thiothrix epibionts, which paves the way for further studies of the specificity and evolutionary history of this symbiosis.","DOI":"10/dbpkg8","ISSN":"1471-2148","author":[{"family":"Flot","given":"Jean-François"},{"family":"Wörheide","given":"Gert"},{"family":"Dattagupta","given":"Sharmishtha"}],"issued":{"date-parts":[["2010"]]}}}],"schema":"https://github.com/citation-style-language/schema/raw/master/csl-citation.json"} </w:instrText>
            </w:r>
            <w:r w:rsidRPr="009E7A40">
              <w:rPr>
                <w:rFonts w:ascii="Arial" w:eastAsia="Times New Roman" w:hAnsi="Arial" w:cs="Arial"/>
                <w:sz w:val="16"/>
                <w:szCs w:val="16"/>
                <w:lang w:val="fr-FR" w:eastAsia="de-DE"/>
              </w:rPr>
              <w:fldChar w:fldCharType="separate"/>
            </w:r>
            <w:r w:rsidRPr="005C5D3B">
              <w:rPr>
                <w:rFonts w:ascii="Arial" w:hAnsi="Arial" w:cs="Arial"/>
                <w:sz w:val="16"/>
                <w:szCs w:val="24"/>
              </w:rPr>
              <w:t xml:space="preserve">(Flot </w:t>
            </w:r>
            <w:r w:rsidRPr="005C5D3B">
              <w:rPr>
                <w:rFonts w:ascii="Arial" w:hAnsi="Arial" w:cs="Arial"/>
                <w:i/>
                <w:iCs/>
                <w:sz w:val="16"/>
                <w:szCs w:val="24"/>
              </w:rPr>
              <w:t>et al.</w:t>
            </w:r>
            <w:r w:rsidRPr="005C5D3B">
              <w:rPr>
                <w:rFonts w:ascii="Arial" w:hAnsi="Arial" w:cs="Arial"/>
                <w:sz w:val="16"/>
                <w:szCs w:val="24"/>
              </w:rPr>
              <w:t xml:space="preserve"> 2010)</w:t>
            </w:r>
            <w:r w:rsidRPr="009E7A40">
              <w:rPr>
                <w:rFonts w:ascii="Arial" w:eastAsia="Times New Roman" w:hAnsi="Arial" w:cs="Arial"/>
                <w:sz w:val="16"/>
                <w:szCs w:val="16"/>
                <w:lang w:val="fr-FR" w:eastAsia="de-DE"/>
              </w:rPr>
              <w:fldChar w:fldCharType="end"/>
            </w:r>
          </w:p>
        </w:tc>
      </w:tr>
      <w:tr w:rsidR="005C5D3B" w:rsidRPr="009E7A40" w14:paraId="3BF167A8" w14:textId="77777777" w:rsidTr="00307CAB">
        <w:tc>
          <w:tcPr>
            <w:tcW w:w="1201" w:type="dxa"/>
          </w:tcPr>
          <w:p w14:paraId="77CD32C8" w14:textId="77777777" w:rsidR="005C5D3B" w:rsidRPr="009E7A40" w:rsidRDefault="005C5D3B" w:rsidP="00307CAB">
            <w:pPr>
              <w:rPr>
                <w:rFonts w:ascii="Arial" w:eastAsia="Times New Roman" w:hAnsi="Arial" w:cs="Arial"/>
                <w:sz w:val="16"/>
                <w:szCs w:val="16"/>
                <w:lang w:eastAsia="de-DE"/>
              </w:rPr>
            </w:pPr>
            <w:proofErr w:type="spellStart"/>
            <w:r w:rsidRPr="009E7A40">
              <w:rPr>
                <w:rFonts w:ascii="Arial" w:eastAsia="Times New Roman" w:hAnsi="Arial" w:cs="Arial"/>
                <w:sz w:val="16"/>
                <w:szCs w:val="16"/>
                <w:lang w:eastAsia="de-DE"/>
              </w:rPr>
              <w:t>Niph</w:t>
            </w:r>
            <w:proofErr w:type="spellEnd"/>
            <w:r w:rsidRPr="009E7A40">
              <w:rPr>
                <w:rFonts w:ascii="Arial" w:eastAsia="Times New Roman" w:hAnsi="Arial" w:cs="Arial"/>
                <w:sz w:val="16"/>
                <w:szCs w:val="16"/>
                <w:lang w:eastAsia="de-DE"/>
              </w:rPr>
              <w:t xml:space="preserve"> 21  </w:t>
            </w:r>
          </w:p>
        </w:tc>
        <w:tc>
          <w:tcPr>
            <w:tcW w:w="3756" w:type="dxa"/>
          </w:tcPr>
          <w:p w14:paraId="16222110"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eastAsia="de-DE"/>
              </w:rPr>
              <w:t>5'-TAT ACT CCT TGG CCC GTG TT-3'</w:t>
            </w:r>
          </w:p>
        </w:tc>
        <w:tc>
          <w:tcPr>
            <w:tcW w:w="1134" w:type="dxa"/>
          </w:tcPr>
          <w:p w14:paraId="365B26C6" w14:textId="77777777" w:rsidR="005C5D3B" w:rsidRPr="009E7A40" w:rsidRDefault="005C5D3B" w:rsidP="00307CAB">
            <w:pPr>
              <w:rPr>
                <w:rFonts w:ascii="Arial" w:eastAsia="Times New Roman" w:hAnsi="Arial" w:cs="Arial"/>
                <w:sz w:val="16"/>
                <w:szCs w:val="16"/>
                <w:lang w:eastAsia="de-DE"/>
              </w:rPr>
            </w:pPr>
          </w:p>
        </w:tc>
        <w:tc>
          <w:tcPr>
            <w:tcW w:w="992" w:type="dxa"/>
          </w:tcPr>
          <w:p w14:paraId="61EB4A1A"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eastAsia="de-DE"/>
              </w:rPr>
              <w:t>x</w:t>
            </w:r>
          </w:p>
        </w:tc>
        <w:tc>
          <w:tcPr>
            <w:tcW w:w="2126" w:type="dxa"/>
          </w:tcPr>
          <w:p w14:paraId="1A86AEED" w14:textId="77777777" w:rsidR="005C5D3B" w:rsidRPr="009E7A40" w:rsidRDefault="005C5D3B" w:rsidP="00307CAB">
            <w:pPr>
              <w:rPr>
                <w:rFonts w:ascii="Arial" w:eastAsia="Times New Roman" w:hAnsi="Arial" w:cs="Arial"/>
                <w:sz w:val="16"/>
                <w:szCs w:val="16"/>
                <w:lang w:eastAsia="de-DE"/>
              </w:rPr>
            </w:pPr>
            <w:r w:rsidRPr="009E7A40">
              <w:rPr>
                <w:rFonts w:ascii="Arial" w:eastAsia="Times New Roman" w:hAnsi="Arial" w:cs="Arial"/>
                <w:sz w:val="16"/>
                <w:szCs w:val="16"/>
                <w:lang w:eastAsia="de-DE"/>
              </w:rPr>
              <w:fldChar w:fldCharType="begin"/>
            </w:r>
            <w:r>
              <w:rPr>
                <w:rFonts w:ascii="Arial" w:eastAsia="Times New Roman" w:hAnsi="Arial" w:cs="Arial"/>
                <w:sz w:val="16"/>
                <w:szCs w:val="16"/>
                <w:lang w:eastAsia="de-DE"/>
              </w:rPr>
              <w:instrText xml:space="preserve"> ADDIN ZOTERO_ITEM CSL_CITATION {"citationID":"pRg8Prkd","properties":{"formattedCitation":"(Flot {\\i{}et al.} 2010)","plainCitation":"(Flot et al. 2010)","noteIndex":0},"citationItems":[{"id":"5tILPP4K/PkTLVxiw","uris":["http://zotero.org/users/local/Us0k2a4O/items/LYUUTVBM",["http://zotero.org/users/local/Us0k2a4O/items/LYUUTVBM"]],"itemData":{"id":66,"type":"article-journal","title":"Unsuspected diversity of &lt;i&gt;Niphargus &lt;/i&gt;amphipods in the chemoautotrophic cave ecosystem of Frasassi, central Italy","container-title":"BMC Evolutionary Biology","page":"171","volume":"10","abstract":"BACKGROUND:The sulfide-rich Frasassi caves in central Italy contain a rare example of a freshwater ecosystem supported entirely by chemoautotrophy. Niphargus ictus, the sole amphipod species previously reported from this locality, was recently shown to host the first known case of a freshwater chemoautotrophic symbiosis. Since the habitat of N. ictus is highly fragmented and is comprised of streams and lakes with various sulfide concentrations, we conducted a detailed study to examine the potential genetic diversity of this species within Frasassi.RESULTS:By sequencing one nuclear (ITS) and two mitochondrial (COI and 12S) regions, we show that four partially sympatric Niphargus clades are present in Frasassi. Morphological and behavioral data obtained for three of these clades are perfectly congruent with this molecular delineation and make it possible to distinguish them in the field. Phylogenetic analyses of 28S ribosomal DNA sequences reveal that, among the four clades, only two are closely related to each other. Moreover, these four clades occupy distinct niches that seem to be related to the chemical properties and flow regimes of the various water bodies within Frasassi.CONCLUSIONS:Our results suggest that four distinct Niphargus species are present in Frasassi and that they originated from three or four independent invasions of the cave system. At least two among the four species harbor Thiothrix epibionts, which paves the way for further studies of the specificity and evolutionary history of this symbiosis.","DOI":"10/dbpkg8","ISSN":"1471-2148","author":[{"family":"Flot","given":"Jean-François"},{"family":"Wörheide","given":"Gert"},{"family":"Dattagupta","given":"Sharmishtha"}],"issued":{"date-parts":[["2010"]]}}}],"schema":"https://github.com/citation-style-language/schema/raw/master/csl-citation.json"} </w:instrText>
            </w:r>
            <w:r w:rsidRPr="009E7A40">
              <w:rPr>
                <w:rFonts w:ascii="Arial" w:eastAsia="Times New Roman" w:hAnsi="Arial" w:cs="Arial"/>
                <w:sz w:val="16"/>
                <w:szCs w:val="16"/>
                <w:lang w:eastAsia="de-DE"/>
              </w:rPr>
              <w:fldChar w:fldCharType="separate"/>
            </w:r>
            <w:r w:rsidRPr="005C5D3B">
              <w:rPr>
                <w:rFonts w:ascii="Arial" w:hAnsi="Arial" w:cs="Arial"/>
                <w:sz w:val="16"/>
                <w:szCs w:val="24"/>
              </w:rPr>
              <w:t xml:space="preserve">(Flot </w:t>
            </w:r>
            <w:r w:rsidRPr="005C5D3B">
              <w:rPr>
                <w:rFonts w:ascii="Arial" w:hAnsi="Arial" w:cs="Arial"/>
                <w:i/>
                <w:iCs/>
                <w:sz w:val="16"/>
                <w:szCs w:val="24"/>
              </w:rPr>
              <w:t>et al.</w:t>
            </w:r>
            <w:r w:rsidRPr="005C5D3B">
              <w:rPr>
                <w:rFonts w:ascii="Arial" w:hAnsi="Arial" w:cs="Arial"/>
                <w:sz w:val="16"/>
                <w:szCs w:val="24"/>
              </w:rPr>
              <w:t xml:space="preserve"> 2010)</w:t>
            </w:r>
            <w:r w:rsidRPr="009E7A40">
              <w:rPr>
                <w:rFonts w:ascii="Arial" w:eastAsia="Times New Roman" w:hAnsi="Arial" w:cs="Arial"/>
                <w:sz w:val="16"/>
                <w:szCs w:val="16"/>
                <w:lang w:eastAsia="de-DE"/>
              </w:rPr>
              <w:fldChar w:fldCharType="end"/>
            </w:r>
          </w:p>
        </w:tc>
      </w:tr>
    </w:tbl>
    <w:p w14:paraId="37225C4B" w14:textId="77777777" w:rsidR="00902357" w:rsidRDefault="00902357"/>
    <w:p w14:paraId="3C3B6EEE" w14:textId="77777777" w:rsidR="005C5D3B" w:rsidRPr="00A72429" w:rsidRDefault="005C5D3B" w:rsidP="005C5D3B">
      <w:pPr>
        <w:pStyle w:val="Bibliography"/>
        <w:rPr>
          <w:rFonts w:ascii="Times New Roman" w:hAnsi="Times New Roman" w:cs="Times New Roman"/>
          <w:sz w:val="24"/>
          <w:szCs w:val="24"/>
        </w:rPr>
      </w:pPr>
      <w:r w:rsidRPr="00A72429">
        <w:rPr>
          <w:rFonts w:ascii="Times New Roman" w:hAnsi="Times New Roman" w:cs="Times New Roman"/>
          <w:sz w:val="24"/>
          <w:szCs w:val="24"/>
        </w:rPr>
        <w:fldChar w:fldCharType="begin"/>
      </w:r>
      <w:r w:rsidRPr="00635990">
        <w:rPr>
          <w:rFonts w:ascii="Times New Roman" w:hAnsi="Times New Roman" w:cs="Times New Roman"/>
          <w:sz w:val="24"/>
          <w:szCs w:val="24"/>
          <w:lang w:val="nl-BE"/>
        </w:rPr>
        <w:instrText xml:space="preserve"> ADDIN ZOTERO_BIBL {"uncited":[],"omitted":[],"custom":[]} CSL_BIBLIOGRAPHY </w:instrText>
      </w:r>
      <w:r w:rsidRPr="00A72429">
        <w:rPr>
          <w:rFonts w:ascii="Times New Roman" w:hAnsi="Times New Roman" w:cs="Times New Roman"/>
          <w:sz w:val="24"/>
          <w:szCs w:val="24"/>
        </w:rPr>
        <w:fldChar w:fldCharType="separate"/>
      </w:r>
      <w:r w:rsidRPr="00635990">
        <w:rPr>
          <w:rFonts w:ascii="Times New Roman" w:hAnsi="Times New Roman" w:cs="Times New Roman"/>
          <w:sz w:val="24"/>
          <w:szCs w:val="24"/>
          <w:lang w:val="nl-BE"/>
        </w:rPr>
        <w:t xml:space="preserve">Astrin J.J. &amp; Stüben P.E. 2008. </w:t>
      </w:r>
      <w:r w:rsidRPr="00A72429">
        <w:rPr>
          <w:rFonts w:ascii="Times New Roman" w:hAnsi="Times New Roman" w:cs="Times New Roman"/>
          <w:sz w:val="24"/>
          <w:szCs w:val="24"/>
        </w:rPr>
        <w:t xml:space="preserve">Phylogeny in cryptic weevils: molecules, morphology and new genera of western Palaearctic Cryptorhynchinae (Coleoptera:Curculionidae). </w:t>
      </w:r>
      <w:r w:rsidRPr="00A72429">
        <w:rPr>
          <w:rFonts w:ascii="Times New Roman" w:hAnsi="Times New Roman" w:cs="Times New Roman"/>
          <w:i/>
          <w:iCs/>
          <w:sz w:val="24"/>
          <w:szCs w:val="24"/>
        </w:rPr>
        <w:t>Invertebrate Systematics</w:t>
      </w:r>
      <w:r w:rsidRPr="00A72429">
        <w:rPr>
          <w:rFonts w:ascii="Times New Roman" w:hAnsi="Times New Roman" w:cs="Times New Roman"/>
          <w:sz w:val="24"/>
          <w:szCs w:val="24"/>
        </w:rPr>
        <w:t xml:space="preserve"> 22 (5): 503. https://doi.org/10.1071/IS07057</w:t>
      </w:r>
    </w:p>
    <w:p w14:paraId="4F1B7774" w14:textId="77777777" w:rsidR="005C5D3B" w:rsidRPr="00A72429" w:rsidRDefault="005C5D3B" w:rsidP="005C5D3B">
      <w:pPr>
        <w:pStyle w:val="Bibliography"/>
        <w:rPr>
          <w:rFonts w:ascii="Times New Roman" w:hAnsi="Times New Roman" w:cs="Times New Roman"/>
          <w:sz w:val="24"/>
          <w:szCs w:val="24"/>
        </w:rPr>
      </w:pPr>
      <w:r w:rsidRPr="00A72429">
        <w:rPr>
          <w:rFonts w:ascii="Times New Roman" w:hAnsi="Times New Roman" w:cs="Times New Roman"/>
          <w:sz w:val="24"/>
          <w:szCs w:val="24"/>
        </w:rPr>
        <w:t xml:space="preserve">Flot J.-F., Wörheide G. &amp; Dattagupta S. 2010. Unsuspected diversity of </w:t>
      </w:r>
      <w:r w:rsidRPr="00A72429">
        <w:rPr>
          <w:rFonts w:ascii="Times New Roman" w:hAnsi="Times New Roman" w:cs="Times New Roman"/>
          <w:i/>
          <w:iCs/>
          <w:sz w:val="24"/>
          <w:szCs w:val="24"/>
        </w:rPr>
        <w:t xml:space="preserve">Niphargus </w:t>
      </w:r>
      <w:r w:rsidRPr="00A72429">
        <w:rPr>
          <w:rFonts w:ascii="Times New Roman" w:hAnsi="Times New Roman" w:cs="Times New Roman"/>
          <w:sz w:val="24"/>
          <w:szCs w:val="24"/>
        </w:rPr>
        <w:t xml:space="preserve">amphipods in the chemoautotrophic cave ecosystem of Frasassi, central Italy. </w:t>
      </w:r>
      <w:r w:rsidRPr="00A72429">
        <w:rPr>
          <w:rFonts w:ascii="Times New Roman" w:hAnsi="Times New Roman" w:cs="Times New Roman"/>
          <w:i/>
          <w:iCs/>
          <w:sz w:val="24"/>
          <w:szCs w:val="24"/>
        </w:rPr>
        <w:t>BMC Evolutionary Biology</w:t>
      </w:r>
      <w:r w:rsidRPr="00A72429">
        <w:rPr>
          <w:rFonts w:ascii="Times New Roman" w:hAnsi="Times New Roman" w:cs="Times New Roman"/>
          <w:sz w:val="24"/>
          <w:szCs w:val="24"/>
        </w:rPr>
        <w:t xml:space="preserve"> 10: 171. https://doi.org/10/dbpkg8</w:t>
      </w:r>
    </w:p>
    <w:p w14:paraId="6BC2728E" w14:textId="77777777" w:rsidR="005C5D3B" w:rsidRPr="00A72429" w:rsidRDefault="005C5D3B" w:rsidP="005C5D3B">
      <w:pPr>
        <w:pStyle w:val="Bibliography"/>
        <w:rPr>
          <w:rFonts w:ascii="Times New Roman" w:hAnsi="Times New Roman" w:cs="Times New Roman"/>
          <w:sz w:val="24"/>
          <w:szCs w:val="24"/>
        </w:rPr>
      </w:pPr>
      <w:r w:rsidRPr="00A72429">
        <w:rPr>
          <w:rFonts w:ascii="Times New Roman" w:hAnsi="Times New Roman" w:cs="Times New Roman"/>
          <w:sz w:val="24"/>
          <w:szCs w:val="24"/>
        </w:rPr>
        <w:t xml:space="preserve">Folmer O., Black M., Hoeh W., Lutz R. &amp; Vrijenhoek R. 1994. DNA primers for amplification of mitochondrial cytochrome </w:t>
      </w:r>
      <w:r w:rsidRPr="00A72429">
        <w:rPr>
          <w:rFonts w:ascii="Times New Roman" w:hAnsi="Times New Roman" w:cs="Times New Roman"/>
          <w:i/>
          <w:iCs/>
          <w:sz w:val="24"/>
          <w:szCs w:val="24"/>
        </w:rPr>
        <w:t>c</w:t>
      </w:r>
      <w:r w:rsidRPr="00A72429">
        <w:rPr>
          <w:rFonts w:ascii="Times New Roman" w:hAnsi="Times New Roman" w:cs="Times New Roman"/>
          <w:sz w:val="24"/>
          <w:szCs w:val="24"/>
        </w:rPr>
        <w:t xml:space="preserve"> oxidase subunit I from diverse metazoan invertebrates. </w:t>
      </w:r>
      <w:r w:rsidRPr="00A72429">
        <w:rPr>
          <w:rFonts w:ascii="Times New Roman" w:hAnsi="Times New Roman" w:cs="Times New Roman"/>
          <w:i/>
          <w:iCs/>
          <w:sz w:val="24"/>
          <w:szCs w:val="24"/>
        </w:rPr>
        <w:t>Molecular Marine Biology and Biotechnology</w:t>
      </w:r>
      <w:r w:rsidRPr="00A72429">
        <w:rPr>
          <w:rFonts w:ascii="Times New Roman" w:hAnsi="Times New Roman" w:cs="Times New Roman"/>
          <w:sz w:val="24"/>
          <w:szCs w:val="24"/>
        </w:rPr>
        <w:t xml:space="preserve"> 3 (5): 294–299.</w:t>
      </w:r>
    </w:p>
    <w:p w14:paraId="1DB1B47D" w14:textId="77777777" w:rsidR="005C5D3B" w:rsidRPr="00A72429" w:rsidRDefault="005C5D3B" w:rsidP="005C5D3B">
      <w:pPr>
        <w:pStyle w:val="Bibliography"/>
        <w:rPr>
          <w:rFonts w:ascii="Times New Roman" w:hAnsi="Times New Roman" w:cs="Times New Roman"/>
          <w:sz w:val="24"/>
          <w:szCs w:val="24"/>
        </w:rPr>
      </w:pPr>
      <w:r w:rsidRPr="00A72429">
        <w:rPr>
          <w:rFonts w:ascii="Times New Roman" w:hAnsi="Times New Roman" w:cs="Times New Roman"/>
          <w:sz w:val="24"/>
          <w:szCs w:val="24"/>
        </w:rPr>
        <w:t xml:space="preserve">Verovnik R., Sket B. &amp; Trontelj P. 2005. The colonization of Europe by the freshwater crustacean Asellus aquaticus (Crustacea: Isopoda) proceeded from ancient refugia and was directed by habitat connectivity: COLONIZATION OF EUROPE BY ASELLUS AQUATICUS. </w:t>
      </w:r>
      <w:r w:rsidRPr="00A72429">
        <w:rPr>
          <w:rFonts w:ascii="Times New Roman" w:hAnsi="Times New Roman" w:cs="Times New Roman"/>
          <w:i/>
          <w:iCs/>
          <w:sz w:val="24"/>
          <w:szCs w:val="24"/>
        </w:rPr>
        <w:t>Molecular Ecology</w:t>
      </w:r>
      <w:r w:rsidRPr="00A72429">
        <w:rPr>
          <w:rFonts w:ascii="Times New Roman" w:hAnsi="Times New Roman" w:cs="Times New Roman"/>
          <w:sz w:val="24"/>
          <w:szCs w:val="24"/>
        </w:rPr>
        <w:t xml:space="preserve"> 14 (14): 4355–4369. https://doi.org/10.1111/j.1365-294X.2005.02745.x</w:t>
      </w:r>
    </w:p>
    <w:p w14:paraId="4565DF79" w14:textId="77777777" w:rsidR="005C5D3B" w:rsidRPr="00A72429" w:rsidRDefault="005C5D3B" w:rsidP="005C5D3B">
      <w:pPr>
        <w:pStyle w:val="Bibliography"/>
        <w:rPr>
          <w:rFonts w:ascii="Times New Roman" w:hAnsi="Times New Roman" w:cs="Times New Roman"/>
          <w:sz w:val="24"/>
          <w:szCs w:val="24"/>
        </w:rPr>
      </w:pPr>
      <w:r w:rsidRPr="00A72429">
        <w:rPr>
          <w:rFonts w:ascii="Times New Roman" w:hAnsi="Times New Roman" w:cs="Times New Roman"/>
          <w:sz w:val="24"/>
          <w:szCs w:val="24"/>
        </w:rPr>
        <w:t xml:space="preserve">Weber D., Brad T., Weigand A. &amp; Flot J.-F. 2023. Water diviners multiplied: cryptic diversity in the </w:t>
      </w:r>
      <w:r w:rsidRPr="00A72429">
        <w:rPr>
          <w:rFonts w:ascii="Times New Roman" w:hAnsi="Times New Roman" w:cs="Times New Roman"/>
          <w:i/>
          <w:iCs/>
          <w:sz w:val="24"/>
          <w:szCs w:val="24"/>
        </w:rPr>
        <w:t>Niphargus aquilex</w:t>
      </w:r>
      <w:r w:rsidRPr="00A72429">
        <w:rPr>
          <w:rFonts w:ascii="Times New Roman" w:hAnsi="Times New Roman" w:cs="Times New Roman"/>
          <w:sz w:val="24"/>
          <w:szCs w:val="24"/>
        </w:rPr>
        <w:t xml:space="preserve"> species complex in Northern Europe. Preprint: Zoology.</w:t>
      </w:r>
    </w:p>
    <w:p w14:paraId="703B0A68" w14:textId="77777777" w:rsidR="005C5D3B" w:rsidRDefault="005C5D3B">
      <w:r w:rsidRPr="00A72429">
        <w:rPr>
          <w:rFonts w:ascii="Times New Roman" w:hAnsi="Times New Roman" w:cs="Times New Roman"/>
          <w:sz w:val="24"/>
          <w:szCs w:val="24"/>
        </w:rPr>
        <w:fldChar w:fldCharType="end"/>
      </w:r>
    </w:p>
    <w:sectPr w:rsidR="005C5D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3B"/>
    <w:rsid w:val="002A5F7D"/>
    <w:rsid w:val="005C5D3B"/>
    <w:rsid w:val="00635990"/>
    <w:rsid w:val="00902357"/>
    <w:rsid w:val="009A3AE0"/>
    <w:rsid w:val="00A72429"/>
    <w:rsid w:val="00D169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BDAF"/>
  <w15:chartTrackingRefBased/>
  <w15:docId w15:val="{710AF444-CB1B-4BCB-A831-6076AB74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3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5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C5D3B"/>
    <w:pPr>
      <w:spacing w:after="240" w:line="240" w:lineRule="auto"/>
      <w:ind w:left="720" w:hanging="720"/>
    </w:pPr>
  </w:style>
  <w:style w:type="paragraph" w:customStyle="1" w:styleId="NormalEJTstylesMaintext">
    <w:name w:val="Normal (EJT styles:Main text)"/>
    <w:basedOn w:val="Normal"/>
    <w:uiPriority w:val="99"/>
    <w:rsid w:val="009A3AE0"/>
    <w:pPr>
      <w:suppressAutoHyphens/>
      <w:autoSpaceDE w:val="0"/>
      <w:autoSpaceDN w:val="0"/>
      <w:adjustRightInd w:val="0"/>
      <w:spacing w:after="227" w:line="288" w:lineRule="auto"/>
      <w:jc w:val="both"/>
      <w:textAlignment w:val="center"/>
    </w:pPr>
    <w:rPr>
      <w:rFonts w:ascii="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2868</Words>
  <Characters>16350</Characters>
  <Application>Microsoft Office Word</Application>
  <DocSecurity>0</DocSecurity>
  <Lines>136</Lines>
  <Paragraphs>38</Paragraphs>
  <ScaleCrop>false</ScaleCrop>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Weber</dc:creator>
  <cp:keywords/>
  <dc:description/>
  <cp:lastModifiedBy>Kristiaan Hoedemakers</cp:lastModifiedBy>
  <cp:revision>2</cp:revision>
  <dcterms:created xsi:type="dcterms:W3CDTF">2025-08-21T09:19:00Z</dcterms:created>
  <dcterms:modified xsi:type="dcterms:W3CDTF">2025-08-21T09:19:00Z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id="5tILPP4K"/&gt;&lt;style id="http://www.zotero.org/styles/european-journal-of-taxonomy" hasBibliography="1" bibliographyStyleHasBeenSet="1"/&gt;&lt;prefs&gt;&lt;pref name="fieldType" value="Field"/&gt;&lt;/prefs&gt;&lt;/data&gt;</vt:lpwstr>
  </property>
</Properties>
</file>