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39B37" w14:textId="77777777" w:rsidR="009A3AE0" w:rsidRDefault="009A3AE0" w:rsidP="009A3AE0">
      <w:pPr>
        <w:pStyle w:val="NormalEJTstylesMaintext"/>
      </w:pPr>
      <w:r>
        <w:t>https://doi.org/10.5852/ejt.2025.1011.3023.13563</w:t>
      </w:r>
    </w:p>
    <w:p w14:paraId="33A7A061" w14:textId="460A7F61" w:rsidR="005C5D3B" w:rsidRPr="00A72429" w:rsidRDefault="005C5D3B" w:rsidP="005C5D3B">
      <w:pPr>
        <w:tabs>
          <w:tab w:val="left" w:pos="1276"/>
          <w:tab w:val="left" w:pos="4580"/>
          <w:tab w:val="left" w:pos="5387"/>
          <w:tab w:val="left" w:pos="5954"/>
          <w:tab w:val="left" w:pos="680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lang w:val="en-US"/>
        </w:rPr>
      </w:pPr>
      <w:r w:rsidRPr="00A72429">
        <w:rPr>
          <w:rFonts w:ascii="Times New Roman" w:hAnsi="Times New Roman" w:cs="Times New Roman"/>
          <w:b/>
          <w:sz w:val="24"/>
          <w:szCs w:val="24"/>
          <w:lang w:val="en-US"/>
        </w:rPr>
        <w:t xml:space="preserve">Supplementary material </w:t>
      </w:r>
      <w:r w:rsidR="00A72429" w:rsidRPr="00A72429">
        <w:rPr>
          <w:rFonts w:ascii="Times New Roman" w:hAnsi="Times New Roman" w:cs="Times New Roman"/>
          <w:b/>
          <w:sz w:val="24"/>
          <w:szCs w:val="24"/>
          <w:lang w:val="en-US"/>
        </w:rPr>
        <w:t>5</w:t>
      </w:r>
      <w:r w:rsidRPr="00A72429">
        <w:rPr>
          <w:rFonts w:ascii="Times New Roman" w:hAnsi="Times New Roman" w:cs="Times New Roman"/>
          <w:b/>
          <w:sz w:val="24"/>
          <w:szCs w:val="24"/>
          <w:lang w:val="en-US"/>
        </w:rPr>
        <w:t>: Used primers</w:t>
      </w:r>
    </w:p>
    <w:p w14:paraId="40C076A4" w14:textId="77777777" w:rsidR="005C5D3B" w:rsidRPr="008932B7" w:rsidRDefault="005C5D3B" w:rsidP="005C5D3B">
      <w:pPr>
        <w:tabs>
          <w:tab w:val="left" w:pos="1276"/>
          <w:tab w:val="left" w:pos="4580"/>
          <w:tab w:val="left" w:pos="5387"/>
          <w:tab w:val="left" w:pos="5954"/>
          <w:tab w:val="left" w:pos="6663"/>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FF"/>
          <w:sz w:val="20"/>
          <w:szCs w:val="20"/>
          <w:lang w:val="fr-FR" w:eastAsia="de-DE"/>
        </w:rPr>
      </w:pPr>
    </w:p>
    <w:tbl>
      <w:tblPr>
        <w:tblStyle w:val="TableGrid"/>
        <w:tblW w:w="9209" w:type="dxa"/>
        <w:tblLook w:val="04A0" w:firstRow="1" w:lastRow="0" w:firstColumn="1" w:lastColumn="0" w:noHBand="0" w:noVBand="1"/>
      </w:tblPr>
      <w:tblGrid>
        <w:gridCol w:w="1201"/>
        <w:gridCol w:w="3756"/>
        <w:gridCol w:w="1134"/>
        <w:gridCol w:w="992"/>
        <w:gridCol w:w="2126"/>
      </w:tblGrid>
      <w:tr w:rsidR="005C5D3B" w:rsidRPr="009E7A40" w14:paraId="230F7B90" w14:textId="77777777" w:rsidTr="00307CAB">
        <w:tc>
          <w:tcPr>
            <w:tcW w:w="1201" w:type="dxa"/>
          </w:tcPr>
          <w:p w14:paraId="32943D68" w14:textId="77777777" w:rsidR="005C5D3B" w:rsidRPr="009E7A40" w:rsidRDefault="005C5D3B" w:rsidP="00307CAB">
            <w:pPr>
              <w:rPr>
                <w:rFonts w:ascii="Arial" w:eastAsia="Times New Roman" w:hAnsi="Arial" w:cs="Arial"/>
                <w:sz w:val="16"/>
                <w:szCs w:val="16"/>
                <w:lang w:val="fr-FR" w:eastAsia="de-DE"/>
              </w:rPr>
            </w:pPr>
            <w:r w:rsidRPr="009E7A40">
              <w:rPr>
                <w:rFonts w:ascii="Arial" w:eastAsia="Times New Roman" w:hAnsi="Arial" w:cs="Arial"/>
                <w:sz w:val="16"/>
                <w:szCs w:val="16"/>
                <w:lang w:val="fr-FR" w:eastAsia="de-DE"/>
              </w:rPr>
              <w:t>Primer</w:t>
            </w:r>
          </w:p>
        </w:tc>
        <w:tc>
          <w:tcPr>
            <w:tcW w:w="3756" w:type="dxa"/>
          </w:tcPr>
          <w:p w14:paraId="7C0491B9" w14:textId="77777777" w:rsidR="005C5D3B" w:rsidRPr="009E7A40" w:rsidRDefault="005C5D3B" w:rsidP="00307CAB">
            <w:pPr>
              <w:rPr>
                <w:rFonts w:ascii="Arial" w:eastAsia="Times New Roman" w:hAnsi="Arial" w:cs="Arial"/>
                <w:sz w:val="16"/>
                <w:szCs w:val="16"/>
                <w:lang w:val="fr-FR" w:eastAsia="de-DE"/>
              </w:rPr>
            </w:pPr>
            <w:r w:rsidRPr="009E7A40">
              <w:rPr>
                <w:rFonts w:ascii="Arial" w:eastAsia="Times New Roman" w:hAnsi="Arial" w:cs="Arial"/>
                <w:sz w:val="16"/>
                <w:szCs w:val="16"/>
                <w:lang w:val="fr-FR" w:eastAsia="de-DE"/>
              </w:rPr>
              <w:t>bases</w:t>
            </w:r>
          </w:p>
        </w:tc>
        <w:tc>
          <w:tcPr>
            <w:tcW w:w="1134" w:type="dxa"/>
          </w:tcPr>
          <w:p w14:paraId="56576955" w14:textId="77777777" w:rsidR="005C5D3B" w:rsidRPr="009E7A40" w:rsidRDefault="005C5D3B" w:rsidP="00307CAB">
            <w:pPr>
              <w:rPr>
                <w:rFonts w:ascii="Arial" w:eastAsia="Times New Roman" w:hAnsi="Arial" w:cs="Arial"/>
                <w:sz w:val="16"/>
                <w:szCs w:val="16"/>
                <w:lang w:val="fr-FR" w:eastAsia="de-DE"/>
              </w:rPr>
            </w:pPr>
            <w:r w:rsidRPr="009E7A40">
              <w:rPr>
                <w:rFonts w:ascii="Arial" w:eastAsia="Times New Roman" w:hAnsi="Arial" w:cs="Arial"/>
                <w:sz w:val="16"/>
                <w:szCs w:val="16"/>
                <w:lang w:val="fr-FR" w:eastAsia="de-DE"/>
              </w:rPr>
              <w:t>PCR</w:t>
            </w:r>
          </w:p>
        </w:tc>
        <w:tc>
          <w:tcPr>
            <w:tcW w:w="992" w:type="dxa"/>
          </w:tcPr>
          <w:p w14:paraId="7270B6C5" w14:textId="77777777" w:rsidR="005C5D3B" w:rsidRPr="009E7A40" w:rsidRDefault="005C5D3B" w:rsidP="00307CAB">
            <w:pPr>
              <w:rPr>
                <w:rFonts w:ascii="Arial" w:eastAsia="Times New Roman" w:hAnsi="Arial" w:cs="Arial"/>
                <w:sz w:val="16"/>
                <w:szCs w:val="16"/>
                <w:lang w:val="fr-FR" w:eastAsia="de-DE"/>
              </w:rPr>
            </w:pPr>
            <w:proofErr w:type="spellStart"/>
            <w:r w:rsidRPr="009E7A40">
              <w:rPr>
                <w:rFonts w:ascii="Arial" w:eastAsia="Times New Roman" w:hAnsi="Arial" w:cs="Arial"/>
                <w:sz w:val="16"/>
                <w:szCs w:val="16"/>
                <w:lang w:val="fr-FR" w:eastAsia="de-DE"/>
              </w:rPr>
              <w:t>seq</w:t>
            </w:r>
            <w:proofErr w:type="spellEnd"/>
            <w:r w:rsidRPr="009E7A40">
              <w:rPr>
                <w:rFonts w:ascii="Arial" w:eastAsia="Times New Roman" w:hAnsi="Arial" w:cs="Arial"/>
                <w:sz w:val="16"/>
                <w:szCs w:val="16"/>
                <w:lang w:val="fr-FR" w:eastAsia="de-DE"/>
              </w:rPr>
              <w:t>.</w:t>
            </w:r>
          </w:p>
        </w:tc>
        <w:tc>
          <w:tcPr>
            <w:tcW w:w="2126" w:type="dxa"/>
          </w:tcPr>
          <w:p w14:paraId="69209C0D" w14:textId="77777777" w:rsidR="005C5D3B" w:rsidRPr="009E7A40" w:rsidRDefault="005C5D3B" w:rsidP="00307CAB">
            <w:pPr>
              <w:rPr>
                <w:rFonts w:ascii="Arial" w:eastAsia="Times New Roman" w:hAnsi="Arial" w:cs="Arial"/>
                <w:sz w:val="16"/>
                <w:szCs w:val="16"/>
                <w:lang w:val="fr-FR" w:eastAsia="de-DE"/>
              </w:rPr>
            </w:pPr>
            <w:proofErr w:type="spellStart"/>
            <w:r w:rsidRPr="009E7A40">
              <w:rPr>
                <w:rFonts w:ascii="Arial" w:eastAsia="Times New Roman" w:hAnsi="Arial" w:cs="Arial"/>
                <w:sz w:val="16"/>
                <w:szCs w:val="16"/>
                <w:lang w:val="fr-FR" w:eastAsia="de-DE"/>
              </w:rPr>
              <w:t>Literature</w:t>
            </w:r>
            <w:proofErr w:type="spellEnd"/>
          </w:p>
        </w:tc>
      </w:tr>
      <w:tr w:rsidR="005C5D3B" w:rsidRPr="009E7A40" w14:paraId="4858D47C" w14:textId="77777777" w:rsidTr="00307CAB">
        <w:tc>
          <w:tcPr>
            <w:tcW w:w="1201" w:type="dxa"/>
          </w:tcPr>
          <w:p w14:paraId="2403F8D0" w14:textId="77777777" w:rsidR="005C5D3B" w:rsidRPr="009E7A40" w:rsidRDefault="005C5D3B" w:rsidP="00307CAB">
            <w:pPr>
              <w:rPr>
                <w:rFonts w:ascii="Arial" w:eastAsia="Times New Roman" w:hAnsi="Arial" w:cs="Arial"/>
                <w:sz w:val="16"/>
                <w:szCs w:val="16"/>
                <w:lang w:val="fr-FR" w:eastAsia="de-DE"/>
              </w:rPr>
            </w:pPr>
            <w:r w:rsidRPr="009E7A40">
              <w:rPr>
                <w:rFonts w:ascii="Arial" w:eastAsia="Times New Roman" w:hAnsi="Arial" w:cs="Arial"/>
                <w:sz w:val="16"/>
                <w:szCs w:val="16"/>
                <w:lang w:val="fr-FR" w:eastAsia="de-DE"/>
              </w:rPr>
              <w:t>LCO1490</w:t>
            </w:r>
          </w:p>
        </w:tc>
        <w:tc>
          <w:tcPr>
            <w:tcW w:w="3756" w:type="dxa"/>
          </w:tcPr>
          <w:p w14:paraId="476D1190" w14:textId="77777777" w:rsidR="005C5D3B" w:rsidRPr="009E7A40" w:rsidRDefault="005C5D3B" w:rsidP="00307CAB">
            <w:pPr>
              <w:rPr>
                <w:rFonts w:ascii="Arial" w:eastAsia="Times New Roman" w:hAnsi="Arial" w:cs="Arial"/>
                <w:sz w:val="16"/>
                <w:szCs w:val="16"/>
                <w:lang w:val="fr-FR" w:eastAsia="de-DE"/>
              </w:rPr>
            </w:pPr>
            <w:r w:rsidRPr="009E7A40">
              <w:rPr>
                <w:rFonts w:ascii="Arial" w:eastAsia="Times New Roman" w:hAnsi="Arial" w:cs="Arial"/>
                <w:sz w:val="16"/>
                <w:szCs w:val="16"/>
                <w:lang w:val="fr-FR" w:eastAsia="de-DE"/>
              </w:rPr>
              <w:t>5'-GGTCAACAAATCATAAAGATATTGG-3’</w:t>
            </w:r>
          </w:p>
        </w:tc>
        <w:tc>
          <w:tcPr>
            <w:tcW w:w="1134" w:type="dxa"/>
          </w:tcPr>
          <w:p w14:paraId="3E479E86" w14:textId="77777777" w:rsidR="005C5D3B" w:rsidRPr="009E7A40" w:rsidRDefault="005C5D3B" w:rsidP="00307CAB">
            <w:pPr>
              <w:rPr>
                <w:rFonts w:ascii="Arial" w:eastAsia="Times New Roman" w:hAnsi="Arial" w:cs="Arial"/>
                <w:sz w:val="16"/>
                <w:szCs w:val="16"/>
                <w:lang w:val="fr-FR" w:eastAsia="de-DE"/>
              </w:rPr>
            </w:pPr>
            <w:r w:rsidRPr="009E7A40">
              <w:rPr>
                <w:rFonts w:ascii="Arial" w:eastAsia="Times New Roman" w:hAnsi="Arial" w:cs="Arial"/>
                <w:sz w:val="16"/>
                <w:szCs w:val="16"/>
                <w:lang w:val="fr-FR" w:eastAsia="de-DE"/>
              </w:rPr>
              <w:t>x</w:t>
            </w:r>
          </w:p>
        </w:tc>
        <w:tc>
          <w:tcPr>
            <w:tcW w:w="992" w:type="dxa"/>
          </w:tcPr>
          <w:p w14:paraId="5C995305" w14:textId="77777777" w:rsidR="005C5D3B" w:rsidRPr="009E7A40" w:rsidRDefault="005C5D3B" w:rsidP="00307CAB">
            <w:pPr>
              <w:rPr>
                <w:rFonts w:ascii="Arial" w:eastAsia="Times New Roman" w:hAnsi="Arial" w:cs="Arial"/>
                <w:sz w:val="16"/>
                <w:szCs w:val="16"/>
                <w:lang w:val="fr-FR" w:eastAsia="de-DE"/>
              </w:rPr>
            </w:pPr>
            <w:r w:rsidRPr="009E7A40">
              <w:rPr>
                <w:rFonts w:ascii="Arial" w:eastAsia="Times New Roman" w:hAnsi="Arial" w:cs="Arial"/>
                <w:sz w:val="16"/>
                <w:szCs w:val="16"/>
                <w:lang w:val="fr-FR" w:eastAsia="de-DE"/>
              </w:rPr>
              <w:t>x</w:t>
            </w:r>
          </w:p>
        </w:tc>
        <w:tc>
          <w:tcPr>
            <w:tcW w:w="2126" w:type="dxa"/>
          </w:tcPr>
          <w:p w14:paraId="0112C694" w14:textId="77777777" w:rsidR="005C5D3B" w:rsidRPr="009E7A40" w:rsidRDefault="005C5D3B" w:rsidP="00307CAB">
            <w:pPr>
              <w:rPr>
                <w:rFonts w:ascii="Arial" w:eastAsia="Times New Roman" w:hAnsi="Arial" w:cs="Arial"/>
                <w:sz w:val="16"/>
                <w:szCs w:val="16"/>
                <w:lang w:val="fr-FR" w:eastAsia="de-DE"/>
              </w:rPr>
            </w:pPr>
            <w:r w:rsidRPr="009E7A40">
              <w:rPr>
                <w:rFonts w:ascii="Arial" w:eastAsia="Times New Roman" w:hAnsi="Arial" w:cs="Arial"/>
                <w:sz w:val="16"/>
                <w:szCs w:val="16"/>
                <w:lang w:eastAsia="de-DE"/>
              </w:rPr>
              <w:fldChar w:fldCharType="begin"/>
            </w:r>
            <w:r>
              <w:rPr>
                <w:rFonts w:ascii="Arial" w:eastAsia="Times New Roman" w:hAnsi="Arial" w:cs="Arial"/>
                <w:sz w:val="16"/>
                <w:szCs w:val="16"/>
                <w:lang w:val="fr-FR" w:eastAsia="de-DE"/>
              </w:rPr>
              <w:instrText xml:space="preserve"> ADDIN ZOTERO_ITEM CSL_CITATION {"citationID":"B9G2zO9m","properties":{"formattedCitation":"(Folmer {\\i{}et al.} 1994)","plainCitation":"(Folmer et al. 1994)","noteIndex":0},"citationItems":[{"id":"5tILPP4K/DQR1zsHG","uris":["http://zotero.org/users/local/Us0k2a4O/items/VMBF5C8S",["http://zotero.org/users/local/Us0k2a4O/items/VMBF5C8S"]],"itemData":{"id":286,"type":"article-journal","title":"DNA primers for amplification of mitochondrial cytochrome &lt;i&gt;c&lt;/i&gt; oxidase subunit I from diverse metazoan invertebrates","container-title":"Molecular Marine Biology and Biotechnology","page":"294-299","volume":"3","issue":"5","abstract":"We describe \"universal\" DNA primers for polymerase chain reaction (PCR) amplification of a 710-bp fragment of the mitochondrial cytochrome c oxidase subunit I gene (COI) from 11 invertebrate phyla: Echinodermata, Mollusca, Annelida, Pogonophora, Arthropoda, Nemertinea, Echiura, Sipuncula, Platyhelminthes, Tardigrada, and Coelenterata, as well as the putative phylum Vestimentifera. Preliminary comparisons revealed that these COI primers generate informative sequences for phylogenetic analyses at the species and higher taxonomic levels.","journalAbbreviation":"Mol. Mar. Biol. Biotechnol.","author":[{"family":"Folmer","given":"O."},{"family":"Black","given":"M."},{"family":"Hoeh","given":"W."},{"family":"Lutz","given":"R."},{"family":"Vrijenhoek","given":"R."}],"issued":{"date-parts":[["1994"]]}}}],"schema":"https://github.com/citation-style-language/schema/raw/master/csl-citation.json"} </w:instrText>
            </w:r>
            <w:r w:rsidRPr="009E7A40">
              <w:rPr>
                <w:rFonts w:ascii="Arial" w:eastAsia="Times New Roman" w:hAnsi="Arial" w:cs="Arial"/>
                <w:sz w:val="16"/>
                <w:szCs w:val="16"/>
                <w:lang w:eastAsia="de-DE"/>
              </w:rPr>
              <w:fldChar w:fldCharType="separate"/>
            </w:r>
            <w:r w:rsidRPr="005C5D3B">
              <w:rPr>
                <w:rFonts w:ascii="Arial" w:hAnsi="Arial" w:cs="Arial"/>
                <w:sz w:val="16"/>
                <w:szCs w:val="24"/>
              </w:rPr>
              <w:t xml:space="preserve">(Folmer </w:t>
            </w:r>
            <w:r w:rsidRPr="005C5D3B">
              <w:rPr>
                <w:rFonts w:ascii="Arial" w:hAnsi="Arial" w:cs="Arial"/>
                <w:i/>
                <w:iCs/>
                <w:sz w:val="16"/>
                <w:szCs w:val="24"/>
              </w:rPr>
              <w:t>et al.</w:t>
            </w:r>
            <w:r w:rsidRPr="005C5D3B">
              <w:rPr>
                <w:rFonts w:ascii="Arial" w:hAnsi="Arial" w:cs="Arial"/>
                <w:sz w:val="16"/>
                <w:szCs w:val="24"/>
              </w:rPr>
              <w:t xml:space="preserve"> 1994)</w:t>
            </w:r>
            <w:r w:rsidRPr="009E7A40">
              <w:rPr>
                <w:rFonts w:ascii="Arial" w:eastAsia="Times New Roman" w:hAnsi="Arial" w:cs="Arial"/>
                <w:sz w:val="16"/>
                <w:szCs w:val="16"/>
                <w:lang w:eastAsia="de-DE"/>
              </w:rPr>
              <w:fldChar w:fldCharType="end"/>
            </w:r>
          </w:p>
        </w:tc>
      </w:tr>
      <w:tr w:rsidR="005C5D3B" w:rsidRPr="009E7A40" w14:paraId="15E4E7A5" w14:textId="77777777" w:rsidTr="00307CAB">
        <w:tc>
          <w:tcPr>
            <w:tcW w:w="1201" w:type="dxa"/>
          </w:tcPr>
          <w:p w14:paraId="12DC8626" w14:textId="77777777" w:rsidR="005C5D3B" w:rsidRPr="009E7A40" w:rsidRDefault="005C5D3B" w:rsidP="00307CAB">
            <w:pPr>
              <w:rPr>
                <w:rFonts w:ascii="Arial" w:eastAsia="Times New Roman" w:hAnsi="Arial" w:cs="Arial"/>
                <w:sz w:val="16"/>
                <w:szCs w:val="16"/>
                <w:lang w:val="fr-FR" w:eastAsia="de-DE"/>
              </w:rPr>
            </w:pPr>
            <w:r w:rsidRPr="009E7A40">
              <w:rPr>
                <w:rFonts w:ascii="Arial" w:eastAsia="Times New Roman" w:hAnsi="Arial" w:cs="Arial"/>
                <w:sz w:val="16"/>
                <w:szCs w:val="16"/>
                <w:lang w:val="fr-FR" w:eastAsia="de-DE"/>
              </w:rPr>
              <w:t>HCO2198</w:t>
            </w:r>
          </w:p>
        </w:tc>
        <w:tc>
          <w:tcPr>
            <w:tcW w:w="3756" w:type="dxa"/>
          </w:tcPr>
          <w:p w14:paraId="31130A5D" w14:textId="77777777" w:rsidR="005C5D3B" w:rsidRPr="009E7A40" w:rsidRDefault="005C5D3B" w:rsidP="00307CAB">
            <w:pPr>
              <w:rPr>
                <w:rFonts w:ascii="Arial" w:eastAsia="Times New Roman" w:hAnsi="Arial" w:cs="Arial"/>
                <w:sz w:val="16"/>
                <w:szCs w:val="16"/>
                <w:lang w:val="fr-FR" w:eastAsia="de-DE"/>
              </w:rPr>
            </w:pPr>
            <w:r w:rsidRPr="009E7A40">
              <w:rPr>
                <w:rFonts w:ascii="Arial" w:eastAsia="Times New Roman" w:hAnsi="Arial" w:cs="Arial"/>
                <w:sz w:val="16"/>
                <w:szCs w:val="16"/>
                <w:lang w:val="fr-FR" w:eastAsia="de-DE"/>
              </w:rPr>
              <w:t>5'-TAAACTTCAGGGTGACCAAAAAAT CA-3’</w:t>
            </w:r>
          </w:p>
        </w:tc>
        <w:tc>
          <w:tcPr>
            <w:tcW w:w="1134" w:type="dxa"/>
          </w:tcPr>
          <w:p w14:paraId="42817238" w14:textId="77777777" w:rsidR="005C5D3B" w:rsidRPr="009E7A40" w:rsidRDefault="005C5D3B" w:rsidP="00307CAB">
            <w:pPr>
              <w:rPr>
                <w:rFonts w:ascii="Arial" w:eastAsia="Times New Roman" w:hAnsi="Arial" w:cs="Arial"/>
                <w:sz w:val="16"/>
                <w:szCs w:val="16"/>
                <w:lang w:val="fr-FR" w:eastAsia="de-DE"/>
              </w:rPr>
            </w:pPr>
            <w:r w:rsidRPr="009E7A40">
              <w:rPr>
                <w:rFonts w:ascii="Arial" w:eastAsia="Times New Roman" w:hAnsi="Arial" w:cs="Arial"/>
                <w:sz w:val="16"/>
                <w:szCs w:val="16"/>
                <w:lang w:val="fr-FR" w:eastAsia="de-DE"/>
              </w:rPr>
              <w:t>x</w:t>
            </w:r>
          </w:p>
        </w:tc>
        <w:tc>
          <w:tcPr>
            <w:tcW w:w="992" w:type="dxa"/>
          </w:tcPr>
          <w:p w14:paraId="7B079F6A" w14:textId="77777777" w:rsidR="005C5D3B" w:rsidRPr="009E7A40" w:rsidRDefault="005C5D3B" w:rsidP="00307CAB">
            <w:pPr>
              <w:rPr>
                <w:rFonts w:ascii="Arial" w:eastAsia="Times New Roman" w:hAnsi="Arial" w:cs="Arial"/>
                <w:sz w:val="16"/>
                <w:szCs w:val="16"/>
                <w:lang w:val="fr-FR" w:eastAsia="de-DE"/>
              </w:rPr>
            </w:pPr>
            <w:r w:rsidRPr="009E7A40">
              <w:rPr>
                <w:rFonts w:ascii="Arial" w:eastAsia="Times New Roman" w:hAnsi="Arial" w:cs="Arial"/>
                <w:sz w:val="16"/>
                <w:szCs w:val="16"/>
                <w:lang w:val="fr-FR" w:eastAsia="de-DE"/>
              </w:rPr>
              <w:t xml:space="preserve">x </w:t>
            </w:r>
          </w:p>
        </w:tc>
        <w:tc>
          <w:tcPr>
            <w:tcW w:w="2126" w:type="dxa"/>
          </w:tcPr>
          <w:p w14:paraId="6E7B93E0" w14:textId="77777777" w:rsidR="005C5D3B" w:rsidRPr="009E7A40" w:rsidRDefault="005C5D3B" w:rsidP="00307CAB">
            <w:pPr>
              <w:rPr>
                <w:rFonts w:ascii="Arial" w:eastAsia="Times New Roman" w:hAnsi="Arial" w:cs="Arial"/>
                <w:sz w:val="16"/>
                <w:szCs w:val="16"/>
                <w:lang w:val="fr-FR" w:eastAsia="de-DE"/>
              </w:rPr>
            </w:pPr>
            <w:r w:rsidRPr="009E7A40">
              <w:rPr>
                <w:rFonts w:ascii="Arial" w:eastAsia="Times New Roman" w:hAnsi="Arial" w:cs="Arial"/>
                <w:sz w:val="16"/>
                <w:szCs w:val="16"/>
                <w:lang w:eastAsia="de-DE"/>
              </w:rPr>
              <w:fldChar w:fldCharType="begin"/>
            </w:r>
            <w:r>
              <w:rPr>
                <w:rFonts w:ascii="Arial" w:eastAsia="Times New Roman" w:hAnsi="Arial" w:cs="Arial"/>
                <w:sz w:val="16"/>
                <w:szCs w:val="16"/>
                <w:lang w:val="fr-FR" w:eastAsia="de-DE"/>
              </w:rPr>
              <w:instrText xml:space="preserve"> ADDIN ZOTERO_ITEM CSL_CITATION {"citationID":"Yyn1yFSM","properties":{"formattedCitation":"(Folmer {\\i{}et al.} 1994)","plainCitation":"(Folmer et al. 1994)","noteIndex":0},"citationItems":[{"id":"5tILPP4K/DQR1zsHG","uris":["http://zotero.org/users/local/Us0k2a4O/items/VMBF5C8S",["http://zotero.org/users/local/Us0k2a4O/items/VMBF5C8S"]],"itemData":{"id":286,"type":"article-journal","title":"DNA primers for amplification of mitochondrial cytochrome &lt;i&gt;c&lt;/i&gt; oxidase subunit I from diverse metazoan invertebrates","container-title":"Molecular Marine Biology and Biotechnology","page":"294-299","volume":"3","issue":"5","abstract":"We describe \"universal\" DNA primers for polymerase chain reaction (PCR) amplification of a 710-bp fragment of the mitochondrial cytochrome c oxidase subunit I gene (COI) from 11 invertebrate phyla: Echinodermata, Mollusca, Annelida, Pogonophora, Arthropoda, Nemertinea, Echiura, Sipuncula, Platyhelminthes, Tardigrada, and Coelenterata, as well as the putative phylum Vestimentifera. Preliminary comparisons revealed that these COI primers generate informative sequences for phylogenetic analyses at the species and higher taxonomic levels.","journalAbbreviation":"Mol. Mar. Biol. Biotechnol.","author":[{"family":"Folmer","given":"O."},{"family":"Black","given":"M."},{"family":"Hoeh","given":"W."},{"family":"Lutz","given":"R."},{"family":"Vrijenhoek","given":"R."}],"issued":{"date-parts":[["1994"]]}}}],"schema":"https://github.com/citation-style-language/schema/raw/master/csl-citation.json"} </w:instrText>
            </w:r>
            <w:r w:rsidRPr="009E7A40">
              <w:rPr>
                <w:rFonts w:ascii="Arial" w:eastAsia="Times New Roman" w:hAnsi="Arial" w:cs="Arial"/>
                <w:sz w:val="16"/>
                <w:szCs w:val="16"/>
                <w:lang w:eastAsia="de-DE"/>
              </w:rPr>
              <w:fldChar w:fldCharType="separate"/>
            </w:r>
            <w:r w:rsidRPr="005C5D3B">
              <w:rPr>
                <w:rFonts w:ascii="Arial" w:hAnsi="Arial" w:cs="Arial"/>
                <w:sz w:val="16"/>
                <w:szCs w:val="24"/>
              </w:rPr>
              <w:t xml:space="preserve">(Folmer </w:t>
            </w:r>
            <w:r w:rsidRPr="005C5D3B">
              <w:rPr>
                <w:rFonts w:ascii="Arial" w:hAnsi="Arial" w:cs="Arial"/>
                <w:i/>
                <w:iCs/>
                <w:sz w:val="16"/>
                <w:szCs w:val="24"/>
              </w:rPr>
              <w:t>et al.</w:t>
            </w:r>
            <w:r w:rsidRPr="005C5D3B">
              <w:rPr>
                <w:rFonts w:ascii="Arial" w:hAnsi="Arial" w:cs="Arial"/>
                <w:sz w:val="16"/>
                <w:szCs w:val="24"/>
              </w:rPr>
              <w:t xml:space="preserve"> 1994)</w:t>
            </w:r>
            <w:r w:rsidRPr="009E7A40">
              <w:rPr>
                <w:rFonts w:ascii="Arial" w:eastAsia="Times New Roman" w:hAnsi="Arial" w:cs="Arial"/>
                <w:sz w:val="16"/>
                <w:szCs w:val="16"/>
                <w:lang w:eastAsia="de-DE"/>
              </w:rPr>
              <w:fldChar w:fldCharType="end"/>
            </w:r>
          </w:p>
        </w:tc>
      </w:tr>
      <w:tr w:rsidR="005C5D3B" w:rsidRPr="009E7A40" w14:paraId="0E202EB4" w14:textId="77777777" w:rsidTr="00307CAB">
        <w:tc>
          <w:tcPr>
            <w:tcW w:w="1201" w:type="dxa"/>
          </w:tcPr>
          <w:p w14:paraId="099774BE" w14:textId="77777777" w:rsidR="005C5D3B" w:rsidRPr="009E7A40" w:rsidRDefault="005C5D3B" w:rsidP="00307CAB">
            <w:pPr>
              <w:rPr>
                <w:rFonts w:ascii="Arial" w:eastAsia="Times New Roman" w:hAnsi="Arial" w:cs="Arial"/>
                <w:sz w:val="16"/>
                <w:szCs w:val="16"/>
                <w:lang w:val="fr-FR" w:eastAsia="de-DE"/>
              </w:rPr>
            </w:pPr>
            <w:r w:rsidRPr="009E7A40">
              <w:rPr>
                <w:rFonts w:ascii="Arial" w:eastAsia="Times New Roman" w:hAnsi="Arial" w:cs="Arial"/>
                <w:sz w:val="16"/>
                <w:szCs w:val="16"/>
                <w:lang w:val="fr-FR" w:eastAsia="de-DE"/>
              </w:rPr>
              <w:t xml:space="preserve">LCO1490-JJ </w:t>
            </w:r>
          </w:p>
        </w:tc>
        <w:tc>
          <w:tcPr>
            <w:tcW w:w="3756" w:type="dxa"/>
          </w:tcPr>
          <w:p w14:paraId="126661A9" w14:textId="77777777" w:rsidR="005C5D3B" w:rsidRPr="009E7A40" w:rsidRDefault="005C5D3B" w:rsidP="00307CAB">
            <w:pPr>
              <w:rPr>
                <w:rFonts w:ascii="Arial" w:eastAsia="Times New Roman" w:hAnsi="Arial" w:cs="Arial"/>
                <w:sz w:val="16"/>
                <w:szCs w:val="16"/>
                <w:lang w:val="fr-FR" w:eastAsia="de-DE"/>
              </w:rPr>
            </w:pPr>
            <w:r w:rsidRPr="009E7A40">
              <w:rPr>
                <w:rFonts w:ascii="Arial" w:eastAsia="Times New Roman" w:hAnsi="Arial" w:cs="Arial"/>
                <w:sz w:val="16"/>
                <w:szCs w:val="16"/>
                <w:lang w:val="fr-FR" w:eastAsia="de-DE"/>
              </w:rPr>
              <w:t>5'-CHACWAAYCATAAAGATATYGG-3'</w:t>
            </w:r>
          </w:p>
        </w:tc>
        <w:tc>
          <w:tcPr>
            <w:tcW w:w="1134" w:type="dxa"/>
          </w:tcPr>
          <w:p w14:paraId="7CBD528E" w14:textId="77777777" w:rsidR="005C5D3B" w:rsidRPr="009E7A40" w:rsidRDefault="005C5D3B" w:rsidP="00307CAB">
            <w:pPr>
              <w:rPr>
                <w:rFonts w:ascii="Arial" w:eastAsia="Times New Roman" w:hAnsi="Arial" w:cs="Arial"/>
                <w:sz w:val="16"/>
                <w:szCs w:val="16"/>
                <w:lang w:val="fr-FR" w:eastAsia="de-DE"/>
              </w:rPr>
            </w:pPr>
            <w:r w:rsidRPr="009E7A40">
              <w:rPr>
                <w:rFonts w:ascii="Arial" w:eastAsia="Times New Roman" w:hAnsi="Arial" w:cs="Arial"/>
                <w:sz w:val="16"/>
                <w:szCs w:val="16"/>
                <w:lang w:val="fr-FR" w:eastAsia="de-DE"/>
              </w:rPr>
              <w:t>x</w:t>
            </w:r>
          </w:p>
        </w:tc>
        <w:tc>
          <w:tcPr>
            <w:tcW w:w="992" w:type="dxa"/>
          </w:tcPr>
          <w:p w14:paraId="0614FA57" w14:textId="77777777" w:rsidR="005C5D3B" w:rsidRPr="009E7A40" w:rsidRDefault="005C5D3B" w:rsidP="00307CAB">
            <w:pPr>
              <w:rPr>
                <w:rFonts w:ascii="Arial" w:eastAsia="Times New Roman" w:hAnsi="Arial" w:cs="Arial"/>
                <w:sz w:val="16"/>
                <w:szCs w:val="16"/>
                <w:lang w:val="fr-FR" w:eastAsia="de-DE"/>
              </w:rPr>
            </w:pPr>
            <w:r w:rsidRPr="009E7A40">
              <w:rPr>
                <w:rFonts w:ascii="Arial" w:eastAsia="Times New Roman" w:hAnsi="Arial" w:cs="Arial"/>
                <w:sz w:val="16"/>
                <w:szCs w:val="16"/>
                <w:lang w:val="fr-FR" w:eastAsia="de-DE"/>
              </w:rPr>
              <w:t>x</w:t>
            </w:r>
          </w:p>
        </w:tc>
        <w:tc>
          <w:tcPr>
            <w:tcW w:w="2126" w:type="dxa"/>
          </w:tcPr>
          <w:p w14:paraId="6DD48C88" w14:textId="77777777" w:rsidR="005C5D3B" w:rsidRPr="009E7A40" w:rsidRDefault="005C5D3B" w:rsidP="00307CAB">
            <w:pPr>
              <w:rPr>
                <w:rFonts w:ascii="Arial" w:eastAsia="Times New Roman" w:hAnsi="Arial" w:cs="Arial"/>
                <w:sz w:val="16"/>
                <w:szCs w:val="16"/>
                <w:lang w:val="fr-FR" w:eastAsia="de-DE"/>
              </w:rPr>
            </w:pPr>
            <w:r w:rsidRPr="009E7A40">
              <w:rPr>
                <w:rFonts w:ascii="Arial" w:eastAsia="Times New Roman" w:hAnsi="Arial" w:cs="Arial"/>
                <w:sz w:val="16"/>
                <w:szCs w:val="16"/>
                <w:lang w:eastAsia="de-DE"/>
              </w:rPr>
              <w:fldChar w:fldCharType="begin"/>
            </w:r>
            <w:r>
              <w:rPr>
                <w:rFonts w:ascii="Arial" w:eastAsia="Times New Roman" w:hAnsi="Arial" w:cs="Arial"/>
                <w:sz w:val="16"/>
                <w:szCs w:val="16"/>
                <w:lang w:val="fr-FR" w:eastAsia="de-DE"/>
              </w:rPr>
              <w:instrText xml:space="preserve"> ADDIN ZOTERO_ITEM CSL_CITATION {"citationID":"qEZ6xmJw","properties":{"formattedCitation":"(Astrin &amp; St\\uc0\\u252{}ben 2008)","plainCitation":"(Astrin &amp; Stüben 2008)","noteIndex":0},"citationItems":[{"id":"5tILPP4K/DajSXz17","uris":["http://zotero.org/users/local/Us0k2a4O/items/H7CAEV3R",["http://zotero.org/users/local/Us0k2a4O/items/H7CAEV3R"]],"itemData":{"id":415,"type":"article-journal","title":"Phylogeny in cryptic weevils: molecules, morphology and new genera of western Palaearctic Cryptorhynchinae (Coleoptera:Curculionidae)","container-title":"Invertebrate Systematics","page":"503","volume":"22","issue":"5","source":"DOI.org (Crossref)","abstract":"A phylogeny is presented for the western Palaearctic representatives of the weevil subfamily Cryptorhynchinae using a combination of phenotypic and genotypic characters. This phylogeny is the first for the extremely species-rich Cryptorhynchinae to use molecular data (mitochondrial CO1 and 16S as well as nuclear ribosomal 28S). The results of this study show the need for molecular tools within this morphologically cryptic group of weevils and provide a scaffold based on which genus assignment can be tested. The present study mostly corroborates the current subdivision into genera (but many of the subgeneric groups are questioned). Three new genera are described: Montanacalles gen. nov. (type species: Kyklioacalles nevadaensis Stüben, 2001), Coloracalles gen. nov. (type species: Acalles humerosus Fairmaire, 1862) and Elliptacalles gen. nov. (type species: Acalles longus Desbrochers, 1892). Relevant external characters and the male genitalia of all discussed taxa are illustrated. Three species are transferred to different genera: Kyklioacalles aubei (Boheman, 1837) (formerly: Acalles), Ruteria major (Solari A. &amp; F., 1907) and Ruteria minosi (Bahr &amp; Bayer, 2005) (both formerly Echinodera).","DOI":"10.1071/IS07057","ISSN":"1445-5226","title-short":"Phylogeny in cryptic weevils","journalAbbreviation":"Invert. Systematics","language":"en","author":[{"family":"Astrin","given":"Jonas J."},{"family":"Stüben","given":"Peter E."}],"issued":{"date-parts":[["2008"]]}}}],"schema":"https://github.com/citation-style-language/schema/raw/master/csl-citation.json"} </w:instrText>
            </w:r>
            <w:r w:rsidRPr="009E7A40">
              <w:rPr>
                <w:rFonts w:ascii="Arial" w:eastAsia="Times New Roman" w:hAnsi="Arial" w:cs="Arial"/>
                <w:sz w:val="16"/>
                <w:szCs w:val="16"/>
                <w:lang w:eastAsia="de-DE"/>
              </w:rPr>
              <w:fldChar w:fldCharType="separate"/>
            </w:r>
            <w:r w:rsidRPr="005C5D3B">
              <w:rPr>
                <w:rFonts w:ascii="Arial" w:hAnsi="Arial" w:cs="Arial"/>
                <w:sz w:val="16"/>
                <w:szCs w:val="24"/>
              </w:rPr>
              <w:t>(Astrin &amp; Stüben 2008)</w:t>
            </w:r>
            <w:r w:rsidRPr="009E7A40">
              <w:rPr>
                <w:rFonts w:ascii="Arial" w:eastAsia="Times New Roman" w:hAnsi="Arial" w:cs="Arial"/>
                <w:sz w:val="16"/>
                <w:szCs w:val="16"/>
                <w:lang w:eastAsia="de-DE"/>
              </w:rPr>
              <w:fldChar w:fldCharType="end"/>
            </w:r>
          </w:p>
        </w:tc>
      </w:tr>
      <w:tr w:rsidR="005C5D3B" w:rsidRPr="009E7A40" w14:paraId="63F26DBE" w14:textId="77777777" w:rsidTr="00307CAB">
        <w:tc>
          <w:tcPr>
            <w:tcW w:w="1201" w:type="dxa"/>
          </w:tcPr>
          <w:p w14:paraId="03AC5515" w14:textId="77777777" w:rsidR="005C5D3B" w:rsidRPr="009E7A40" w:rsidRDefault="005C5D3B" w:rsidP="00307CAB">
            <w:pPr>
              <w:rPr>
                <w:rFonts w:ascii="Arial" w:eastAsia="Times New Roman" w:hAnsi="Arial" w:cs="Arial"/>
                <w:sz w:val="16"/>
                <w:szCs w:val="16"/>
                <w:lang w:val="fr-FR" w:eastAsia="de-DE"/>
              </w:rPr>
            </w:pPr>
            <w:r w:rsidRPr="009E7A40">
              <w:rPr>
                <w:rFonts w:ascii="Arial" w:eastAsia="Times New Roman" w:hAnsi="Arial" w:cs="Arial"/>
                <w:sz w:val="16"/>
                <w:szCs w:val="16"/>
                <w:lang w:val="fr-FR" w:eastAsia="de-DE"/>
              </w:rPr>
              <w:t xml:space="preserve">HCO2198-JJ </w:t>
            </w:r>
          </w:p>
        </w:tc>
        <w:tc>
          <w:tcPr>
            <w:tcW w:w="3756" w:type="dxa"/>
          </w:tcPr>
          <w:p w14:paraId="0548C81F" w14:textId="77777777" w:rsidR="005C5D3B" w:rsidRPr="009E7A40" w:rsidRDefault="005C5D3B" w:rsidP="00307CAB">
            <w:pPr>
              <w:rPr>
                <w:rFonts w:ascii="Arial" w:eastAsia="Times New Roman" w:hAnsi="Arial" w:cs="Arial"/>
                <w:sz w:val="16"/>
                <w:szCs w:val="16"/>
                <w:lang w:val="fr-FR" w:eastAsia="de-DE"/>
              </w:rPr>
            </w:pPr>
            <w:r w:rsidRPr="009E7A40">
              <w:rPr>
                <w:rFonts w:ascii="Arial" w:eastAsia="Times New Roman" w:hAnsi="Arial" w:cs="Arial"/>
                <w:sz w:val="16"/>
                <w:szCs w:val="16"/>
                <w:lang w:val="fr-FR" w:eastAsia="de-DE"/>
              </w:rPr>
              <w:t xml:space="preserve">5'-AWACTTCVGGRTGVCCAAARAATCA-3' </w:t>
            </w:r>
          </w:p>
        </w:tc>
        <w:tc>
          <w:tcPr>
            <w:tcW w:w="1134" w:type="dxa"/>
          </w:tcPr>
          <w:p w14:paraId="5431F74C" w14:textId="77777777" w:rsidR="005C5D3B" w:rsidRPr="009E7A40" w:rsidRDefault="005C5D3B" w:rsidP="00307CAB">
            <w:pPr>
              <w:rPr>
                <w:rFonts w:ascii="Arial" w:eastAsia="Times New Roman" w:hAnsi="Arial" w:cs="Arial"/>
                <w:sz w:val="16"/>
                <w:szCs w:val="16"/>
                <w:lang w:val="fr-FR" w:eastAsia="de-DE"/>
              </w:rPr>
            </w:pPr>
            <w:r w:rsidRPr="009E7A40">
              <w:rPr>
                <w:rFonts w:ascii="Arial" w:eastAsia="Times New Roman" w:hAnsi="Arial" w:cs="Arial"/>
                <w:sz w:val="16"/>
                <w:szCs w:val="16"/>
                <w:lang w:val="fr-FR" w:eastAsia="de-DE"/>
              </w:rPr>
              <w:t>x</w:t>
            </w:r>
          </w:p>
        </w:tc>
        <w:tc>
          <w:tcPr>
            <w:tcW w:w="992" w:type="dxa"/>
          </w:tcPr>
          <w:p w14:paraId="1BE8F4A1" w14:textId="77777777" w:rsidR="005C5D3B" w:rsidRPr="009E7A40" w:rsidRDefault="005C5D3B" w:rsidP="00307CAB">
            <w:pPr>
              <w:rPr>
                <w:rFonts w:ascii="Arial" w:eastAsia="Times New Roman" w:hAnsi="Arial" w:cs="Arial"/>
                <w:sz w:val="16"/>
                <w:szCs w:val="16"/>
                <w:lang w:val="fr-FR" w:eastAsia="de-DE"/>
              </w:rPr>
            </w:pPr>
            <w:r w:rsidRPr="009E7A40">
              <w:rPr>
                <w:rFonts w:ascii="Arial" w:eastAsia="Times New Roman" w:hAnsi="Arial" w:cs="Arial"/>
                <w:sz w:val="16"/>
                <w:szCs w:val="16"/>
                <w:lang w:val="fr-FR" w:eastAsia="de-DE"/>
              </w:rPr>
              <w:t>x</w:t>
            </w:r>
          </w:p>
        </w:tc>
        <w:tc>
          <w:tcPr>
            <w:tcW w:w="2126" w:type="dxa"/>
          </w:tcPr>
          <w:p w14:paraId="52FD8C0B" w14:textId="77777777" w:rsidR="005C5D3B" w:rsidRPr="009E7A40" w:rsidRDefault="005C5D3B" w:rsidP="00307CAB">
            <w:pPr>
              <w:rPr>
                <w:rFonts w:ascii="Arial" w:eastAsia="Times New Roman" w:hAnsi="Arial" w:cs="Arial"/>
                <w:sz w:val="16"/>
                <w:szCs w:val="16"/>
                <w:lang w:val="fr-FR" w:eastAsia="de-DE"/>
              </w:rPr>
            </w:pPr>
            <w:r w:rsidRPr="009E7A40">
              <w:rPr>
                <w:rFonts w:ascii="Arial" w:eastAsia="Times New Roman" w:hAnsi="Arial" w:cs="Arial"/>
                <w:sz w:val="16"/>
                <w:szCs w:val="16"/>
                <w:lang w:eastAsia="de-DE"/>
              </w:rPr>
              <w:fldChar w:fldCharType="begin"/>
            </w:r>
            <w:r>
              <w:rPr>
                <w:rFonts w:ascii="Arial" w:eastAsia="Times New Roman" w:hAnsi="Arial" w:cs="Arial"/>
                <w:sz w:val="16"/>
                <w:szCs w:val="16"/>
                <w:lang w:val="fr-FR" w:eastAsia="de-DE"/>
              </w:rPr>
              <w:instrText xml:space="preserve"> ADDIN ZOTERO_ITEM CSL_CITATION {"citationID":"Wxq8wgbr","properties":{"formattedCitation":"(Astrin &amp; St\\uc0\\u252{}ben 2008)","plainCitation":"(Astrin &amp; Stüben 2008)","noteIndex":0},"citationItems":[{"id":"5tILPP4K/DajSXz17","uris":["http://zotero.org/users/local/Us0k2a4O/items/H7CAEV3R",["http://zotero.org/users/local/Us0k2a4O/items/H7CAEV3R"]],"itemData":{"id":415,"type":"article-journal","title":"Phylogeny in cryptic weevils: molecules, morphology and new genera of western Palaearctic Cryptorhynchinae (Coleoptera:Curculionidae)","container-title":"Invertebrate Systematics","page":"503","volume":"22","issue":"5","source":"DOI.org (Crossref)","abstract":"A phylogeny is presented for the western Palaearctic representatives of the weevil subfamily Cryptorhynchinae using a combination of phenotypic and genotypic characters. This phylogeny is the first for the extremely species-rich Cryptorhynchinae to use molecular data (mitochondrial CO1 and 16S as well as nuclear ribosomal 28S). The results of this study show the need for molecular tools within this morphologically cryptic group of weevils and provide a scaffold based on which genus assignment can be tested. The present study mostly corroborates the current subdivision into genera (but many of the subgeneric groups are questioned). Three new genera are described: Montanacalles gen. nov. (type species: Kyklioacalles nevadaensis Stüben, 2001), Coloracalles gen. nov. (type species: Acalles humerosus Fairmaire, 1862) and Elliptacalles gen. nov. (type species: Acalles longus Desbrochers, 1892). Relevant external characters and the male genitalia of all discussed taxa are illustrated. Three species are transferred to different genera: Kyklioacalles aubei (Boheman, 1837) (formerly: Acalles), Ruteria major (Solari A. &amp; F., 1907) and Ruteria minosi (Bahr &amp; Bayer, 2005) (both formerly Echinodera).","DOI":"10.1071/IS07057","ISSN":"1445-5226","title-short":"Phylogeny in cryptic weevils","journalAbbreviation":"Invert. Systematics","language":"en","author":[{"family":"Astrin","given":"Jonas J."},{"family":"Stüben","given":"Peter E."}],"issued":{"date-parts":[["2008"]]}}}],"schema":"https://github.com/citation-style-language/schema/raw/master/csl-citation.json"} </w:instrText>
            </w:r>
            <w:r w:rsidRPr="009E7A40">
              <w:rPr>
                <w:rFonts w:ascii="Arial" w:eastAsia="Times New Roman" w:hAnsi="Arial" w:cs="Arial"/>
                <w:sz w:val="16"/>
                <w:szCs w:val="16"/>
                <w:lang w:eastAsia="de-DE"/>
              </w:rPr>
              <w:fldChar w:fldCharType="separate"/>
            </w:r>
            <w:r w:rsidRPr="005C5D3B">
              <w:rPr>
                <w:rFonts w:ascii="Arial" w:hAnsi="Arial" w:cs="Arial"/>
                <w:sz w:val="16"/>
                <w:szCs w:val="24"/>
              </w:rPr>
              <w:t>(Astrin &amp; Stüben 2008)</w:t>
            </w:r>
            <w:r w:rsidRPr="009E7A40">
              <w:rPr>
                <w:rFonts w:ascii="Arial" w:eastAsia="Times New Roman" w:hAnsi="Arial" w:cs="Arial"/>
                <w:sz w:val="16"/>
                <w:szCs w:val="16"/>
                <w:lang w:eastAsia="de-DE"/>
              </w:rPr>
              <w:fldChar w:fldCharType="end"/>
            </w:r>
          </w:p>
        </w:tc>
      </w:tr>
      <w:tr w:rsidR="005C5D3B" w:rsidRPr="009E7A40" w14:paraId="7FA9450E" w14:textId="77777777" w:rsidTr="00307CAB">
        <w:tc>
          <w:tcPr>
            <w:tcW w:w="1201" w:type="dxa"/>
          </w:tcPr>
          <w:p w14:paraId="6668F381" w14:textId="77777777" w:rsidR="005C5D3B" w:rsidRPr="009E7A40" w:rsidRDefault="005C5D3B" w:rsidP="00307CAB">
            <w:pPr>
              <w:rPr>
                <w:rFonts w:ascii="Arial" w:eastAsia="Times New Roman" w:hAnsi="Arial" w:cs="Arial"/>
                <w:sz w:val="16"/>
                <w:szCs w:val="16"/>
                <w:lang w:val="fr-FR" w:eastAsia="de-DE"/>
              </w:rPr>
            </w:pPr>
            <w:proofErr w:type="spellStart"/>
            <w:r w:rsidRPr="009E7A40">
              <w:rPr>
                <w:rFonts w:ascii="Arial" w:eastAsia="Times New Roman" w:hAnsi="Arial" w:cs="Arial"/>
                <w:sz w:val="16"/>
                <w:szCs w:val="16"/>
                <w:lang w:val="fr-FR" w:eastAsia="de-DE"/>
              </w:rPr>
              <w:t>Niph</w:t>
            </w:r>
            <w:proofErr w:type="spellEnd"/>
            <w:r w:rsidRPr="009E7A40">
              <w:rPr>
                <w:rFonts w:ascii="Arial" w:eastAsia="Times New Roman" w:hAnsi="Arial" w:cs="Arial"/>
                <w:sz w:val="16"/>
                <w:szCs w:val="16"/>
                <w:lang w:val="fr-FR" w:eastAsia="de-DE"/>
              </w:rPr>
              <w:t xml:space="preserve"> 15    </w:t>
            </w:r>
          </w:p>
        </w:tc>
        <w:tc>
          <w:tcPr>
            <w:tcW w:w="3756" w:type="dxa"/>
          </w:tcPr>
          <w:p w14:paraId="635281C4" w14:textId="77777777" w:rsidR="005C5D3B" w:rsidRPr="009E7A40" w:rsidRDefault="005C5D3B" w:rsidP="00307CAB">
            <w:pPr>
              <w:rPr>
                <w:rFonts w:ascii="Arial" w:eastAsia="Times New Roman" w:hAnsi="Arial" w:cs="Arial"/>
                <w:sz w:val="16"/>
                <w:szCs w:val="16"/>
                <w:lang w:val="fr-FR" w:eastAsia="de-DE"/>
              </w:rPr>
            </w:pPr>
            <w:r w:rsidRPr="009E7A40">
              <w:rPr>
                <w:rFonts w:ascii="Arial" w:eastAsia="Times New Roman" w:hAnsi="Arial" w:cs="Arial"/>
                <w:sz w:val="16"/>
                <w:szCs w:val="16"/>
                <w:lang w:val="fr-FR" w:eastAsia="de-DE"/>
              </w:rPr>
              <w:t>5'-CAA GTA CCG TGA GGG AAA GTT-3'</w:t>
            </w:r>
          </w:p>
        </w:tc>
        <w:tc>
          <w:tcPr>
            <w:tcW w:w="1134" w:type="dxa"/>
          </w:tcPr>
          <w:p w14:paraId="6F49173D" w14:textId="77777777" w:rsidR="005C5D3B" w:rsidRPr="009E7A40" w:rsidRDefault="005C5D3B" w:rsidP="00307CAB">
            <w:pPr>
              <w:rPr>
                <w:rFonts w:ascii="Arial" w:eastAsia="Times New Roman" w:hAnsi="Arial" w:cs="Arial"/>
                <w:sz w:val="16"/>
                <w:szCs w:val="16"/>
                <w:lang w:val="fr-FR" w:eastAsia="de-DE"/>
              </w:rPr>
            </w:pPr>
            <w:r w:rsidRPr="009E7A40">
              <w:rPr>
                <w:rFonts w:ascii="Arial" w:eastAsia="Times New Roman" w:hAnsi="Arial" w:cs="Arial"/>
                <w:sz w:val="16"/>
                <w:szCs w:val="16"/>
                <w:lang w:val="fr-FR" w:eastAsia="de-DE"/>
              </w:rPr>
              <w:t>x</w:t>
            </w:r>
          </w:p>
        </w:tc>
        <w:tc>
          <w:tcPr>
            <w:tcW w:w="992" w:type="dxa"/>
          </w:tcPr>
          <w:p w14:paraId="620D7399" w14:textId="77777777" w:rsidR="005C5D3B" w:rsidRPr="009E7A40" w:rsidRDefault="005C5D3B" w:rsidP="00307CAB">
            <w:pPr>
              <w:rPr>
                <w:rFonts w:ascii="Arial" w:eastAsia="Times New Roman" w:hAnsi="Arial" w:cs="Arial"/>
                <w:sz w:val="16"/>
                <w:szCs w:val="16"/>
                <w:lang w:val="fr-FR" w:eastAsia="de-DE"/>
              </w:rPr>
            </w:pPr>
            <w:r>
              <w:rPr>
                <w:rFonts w:ascii="Arial" w:eastAsia="Times New Roman" w:hAnsi="Arial" w:cs="Arial"/>
                <w:sz w:val="16"/>
                <w:szCs w:val="16"/>
                <w:lang w:val="fr-FR" w:eastAsia="de-DE"/>
              </w:rPr>
              <w:t>x</w:t>
            </w:r>
          </w:p>
        </w:tc>
        <w:tc>
          <w:tcPr>
            <w:tcW w:w="2126" w:type="dxa"/>
          </w:tcPr>
          <w:p w14:paraId="391898C3" w14:textId="77777777" w:rsidR="005C5D3B" w:rsidRPr="009E7A40" w:rsidRDefault="005C5D3B" w:rsidP="00307CAB">
            <w:pPr>
              <w:rPr>
                <w:rFonts w:ascii="Arial" w:eastAsia="Times New Roman" w:hAnsi="Arial" w:cs="Arial"/>
                <w:sz w:val="16"/>
                <w:szCs w:val="16"/>
                <w:lang w:val="fr-FR" w:eastAsia="de-DE"/>
              </w:rPr>
            </w:pPr>
            <w:r w:rsidRPr="009E7A40">
              <w:rPr>
                <w:rFonts w:ascii="Arial" w:eastAsia="Times New Roman" w:hAnsi="Arial" w:cs="Arial"/>
                <w:sz w:val="16"/>
                <w:szCs w:val="16"/>
                <w:lang w:eastAsia="de-DE"/>
              </w:rPr>
              <w:fldChar w:fldCharType="begin"/>
            </w:r>
            <w:r>
              <w:rPr>
                <w:rFonts w:ascii="Arial" w:eastAsia="Times New Roman" w:hAnsi="Arial" w:cs="Arial"/>
                <w:sz w:val="16"/>
                <w:szCs w:val="16"/>
                <w:lang w:val="fr-FR" w:eastAsia="de-DE"/>
              </w:rPr>
              <w:instrText xml:space="preserve"> ADDIN ZOTERO_ITEM CSL_CITATION {"citationID":"pN2LZO44","properties":{"formattedCitation":"(Verovnik {\\i{}et al.} 2005)","plainCitation":"(Verovnik et al. 2005)","noteIndex":0},"citationItems":[{"id":"5tILPP4K/C8sky4iW","uris":["http://zotero.org/users/local/Us0k2a4O/items/AZVR2K8T",["http://zotero.org/users/local/Us0k2a4O/items/AZVR2K8T"]],"itemData":{"id":413,"type":"article-journal","title":"The colonization of Europe by the freshwater crustacean Asellus aquaticus (Crustacea: Isopoda) proceeded from ancient refugia and was directed by habitat connectivity: COLONIZATION OF EUROPE BY ASELLUS AQUATICUS","container-title":"Molecular Ecology","page":"4355-4369","volume":"14","issue":"14","source":"DOI.org (Crossref)","DOI":"10.1111/j.1365-294X.2005.02745.x","ISSN":"09621083, 1365294X","title-short":"The colonization of Europe by the freshwater crustacean Asellus aquaticus (Crustacea","language":"en","author":[{"family":"Verovnik","given":"R."},{"family":"Sket","given":"B."},{"family":"Trontelj","given":"P."}],"issued":{"date-parts":[["2005",10,3]]}}}],"schema":"https://github.com/citation-style-language/schema/raw/master/csl-citation.json"} </w:instrText>
            </w:r>
            <w:r w:rsidRPr="009E7A40">
              <w:rPr>
                <w:rFonts w:ascii="Arial" w:eastAsia="Times New Roman" w:hAnsi="Arial" w:cs="Arial"/>
                <w:sz w:val="16"/>
                <w:szCs w:val="16"/>
                <w:lang w:eastAsia="de-DE"/>
              </w:rPr>
              <w:fldChar w:fldCharType="separate"/>
            </w:r>
            <w:r w:rsidRPr="005C5D3B">
              <w:rPr>
                <w:rFonts w:ascii="Arial" w:hAnsi="Arial" w:cs="Arial"/>
                <w:sz w:val="16"/>
                <w:szCs w:val="24"/>
              </w:rPr>
              <w:t xml:space="preserve">(Verovnik </w:t>
            </w:r>
            <w:r w:rsidRPr="005C5D3B">
              <w:rPr>
                <w:rFonts w:ascii="Arial" w:hAnsi="Arial" w:cs="Arial"/>
                <w:i/>
                <w:iCs/>
                <w:sz w:val="16"/>
                <w:szCs w:val="24"/>
              </w:rPr>
              <w:t>et al.</w:t>
            </w:r>
            <w:r w:rsidRPr="005C5D3B">
              <w:rPr>
                <w:rFonts w:ascii="Arial" w:hAnsi="Arial" w:cs="Arial"/>
                <w:sz w:val="16"/>
                <w:szCs w:val="24"/>
              </w:rPr>
              <w:t xml:space="preserve"> 2005)</w:t>
            </w:r>
            <w:r w:rsidRPr="009E7A40">
              <w:rPr>
                <w:rFonts w:ascii="Arial" w:eastAsia="Times New Roman" w:hAnsi="Arial" w:cs="Arial"/>
                <w:sz w:val="16"/>
                <w:szCs w:val="16"/>
                <w:lang w:eastAsia="de-DE"/>
              </w:rPr>
              <w:fldChar w:fldCharType="end"/>
            </w:r>
          </w:p>
        </w:tc>
      </w:tr>
      <w:tr w:rsidR="005C5D3B" w:rsidRPr="009E7A40" w14:paraId="1BFB3F06" w14:textId="77777777" w:rsidTr="00307CAB">
        <w:tc>
          <w:tcPr>
            <w:tcW w:w="1201" w:type="dxa"/>
          </w:tcPr>
          <w:p w14:paraId="1BCB3096" w14:textId="77777777" w:rsidR="005C5D3B" w:rsidRPr="009E7A40" w:rsidRDefault="005C5D3B" w:rsidP="00307CAB">
            <w:pPr>
              <w:rPr>
                <w:rFonts w:ascii="Arial" w:eastAsia="Times New Roman" w:hAnsi="Arial" w:cs="Arial"/>
                <w:sz w:val="16"/>
                <w:szCs w:val="16"/>
                <w:lang w:val="fr-FR" w:eastAsia="de-DE"/>
              </w:rPr>
            </w:pPr>
            <w:proofErr w:type="spellStart"/>
            <w:r w:rsidRPr="009E7A40">
              <w:rPr>
                <w:rFonts w:ascii="Arial" w:eastAsia="Times New Roman" w:hAnsi="Arial" w:cs="Arial"/>
                <w:sz w:val="16"/>
                <w:szCs w:val="16"/>
                <w:lang w:val="fr-FR" w:eastAsia="de-DE"/>
              </w:rPr>
              <w:t>Niph</w:t>
            </w:r>
            <w:proofErr w:type="spellEnd"/>
            <w:r w:rsidRPr="009E7A40">
              <w:rPr>
                <w:rFonts w:ascii="Arial" w:eastAsia="Times New Roman" w:hAnsi="Arial" w:cs="Arial"/>
                <w:sz w:val="16"/>
                <w:szCs w:val="16"/>
                <w:lang w:val="fr-FR" w:eastAsia="de-DE"/>
              </w:rPr>
              <w:t xml:space="preserve"> 15i</w:t>
            </w:r>
          </w:p>
        </w:tc>
        <w:tc>
          <w:tcPr>
            <w:tcW w:w="3756" w:type="dxa"/>
          </w:tcPr>
          <w:p w14:paraId="5D139FC4" w14:textId="77777777" w:rsidR="005C5D3B" w:rsidRPr="009E7A40" w:rsidRDefault="005C5D3B" w:rsidP="00307CAB">
            <w:pPr>
              <w:rPr>
                <w:rFonts w:ascii="Arial" w:eastAsia="Times New Roman" w:hAnsi="Arial" w:cs="Arial"/>
                <w:sz w:val="16"/>
                <w:szCs w:val="16"/>
                <w:lang w:val="fr-FR" w:eastAsia="de-DE"/>
              </w:rPr>
            </w:pPr>
            <w:r w:rsidRPr="009E7A40">
              <w:rPr>
                <w:rFonts w:ascii="Arial" w:eastAsia="Times New Roman" w:hAnsi="Arial" w:cs="Arial"/>
                <w:sz w:val="16"/>
                <w:szCs w:val="16"/>
                <w:lang w:val="fr-FR" w:eastAsia="de-DE"/>
              </w:rPr>
              <w:t>5'-AGA GTC AAA AGA CCG TGA AACC-3'</w:t>
            </w:r>
          </w:p>
        </w:tc>
        <w:tc>
          <w:tcPr>
            <w:tcW w:w="1134" w:type="dxa"/>
          </w:tcPr>
          <w:p w14:paraId="54E501A9" w14:textId="77777777" w:rsidR="005C5D3B" w:rsidRPr="009E7A40" w:rsidRDefault="005C5D3B" w:rsidP="00307CAB">
            <w:pPr>
              <w:rPr>
                <w:rFonts w:ascii="Arial" w:eastAsia="Times New Roman" w:hAnsi="Arial" w:cs="Arial"/>
                <w:sz w:val="16"/>
                <w:szCs w:val="16"/>
                <w:lang w:val="fr-FR" w:eastAsia="de-DE"/>
              </w:rPr>
            </w:pPr>
          </w:p>
        </w:tc>
        <w:tc>
          <w:tcPr>
            <w:tcW w:w="992" w:type="dxa"/>
          </w:tcPr>
          <w:p w14:paraId="707D99F7" w14:textId="77777777" w:rsidR="005C5D3B" w:rsidRPr="009E7A40" w:rsidRDefault="005C5D3B" w:rsidP="00307CAB">
            <w:pPr>
              <w:rPr>
                <w:rFonts w:ascii="Arial" w:eastAsia="Times New Roman" w:hAnsi="Arial" w:cs="Arial"/>
                <w:sz w:val="16"/>
                <w:szCs w:val="16"/>
                <w:lang w:val="fr-FR" w:eastAsia="de-DE"/>
              </w:rPr>
            </w:pPr>
            <w:r w:rsidRPr="009E7A40">
              <w:rPr>
                <w:rFonts w:ascii="Arial" w:eastAsia="Times New Roman" w:hAnsi="Arial" w:cs="Arial"/>
                <w:sz w:val="16"/>
                <w:szCs w:val="16"/>
                <w:lang w:val="fr-FR" w:eastAsia="de-DE"/>
              </w:rPr>
              <w:t>x</w:t>
            </w:r>
          </w:p>
        </w:tc>
        <w:tc>
          <w:tcPr>
            <w:tcW w:w="2126" w:type="dxa"/>
          </w:tcPr>
          <w:p w14:paraId="1D889650" w14:textId="77777777" w:rsidR="005C5D3B" w:rsidRPr="009E7A40" w:rsidRDefault="005C5D3B" w:rsidP="00307CAB">
            <w:pPr>
              <w:rPr>
                <w:rFonts w:ascii="Arial" w:eastAsia="Times New Roman" w:hAnsi="Arial" w:cs="Arial"/>
                <w:sz w:val="16"/>
                <w:szCs w:val="16"/>
                <w:lang w:val="fr-FR" w:eastAsia="de-DE"/>
              </w:rPr>
            </w:pPr>
            <w:r>
              <w:rPr>
                <w:rFonts w:ascii="Arial" w:eastAsia="Times New Roman" w:hAnsi="Arial" w:cs="Arial"/>
                <w:sz w:val="16"/>
                <w:szCs w:val="16"/>
                <w:lang w:val="fr-FR" w:eastAsia="de-DE"/>
              </w:rPr>
              <w:fldChar w:fldCharType="begin"/>
            </w:r>
            <w:r>
              <w:rPr>
                <w:rFonts w:ascii="Arial" w:eastAsia="Times New Roman" w:hAnsi="Arial" w:cs="Arial"/>
                <w:sz w:val="16"/>
                <w:szCs w:val="16"/>
                <w:lang w:val="fr-FR" w:eastAsia="de-DE"/>
              </w:rPr>
              <w:instrText xml:space="preserve"> ADDIN ZOTERO_ITEM CSL_CITATION {"citationID":"rhqKLM17","properties":{"formattedCitation":"(Weber {\\i{}et al.} 2023)","plainCitation":"(Weber et al. 2023)","noteIndex":0},"citationItems":[{"id":2112,"uris":["http://zotero.org/users/local/snSnCIR8/items/H5PPP9WK"],"itemData":{"id":2112,"type":"report","abstract":"As for many other groups, patterns of biodiversity for subter-ranean crustaceans in Europe indicate larger morphospecies ranges at higher latitudes (the so-called Rapoport effect). However, this observed correlation may be artefactual if many of those high-latitude, widely distributed morphospecies are actually species complexes. To test this hypothesis, we looked for previously undetected species boundaries within\n            Niphargus aquilex\n            and\n            Niphargus schellenbergi\n            , two closely related morphospecies of groundwater amphipods widely distributed in northern Europe, by sequencing fragments of the mitochondrial cytochrome\n            c\n            oxidase subunit I gene (COI) and of the nuclear 28S ribosomal RNA gene of 198 individuals collected across their area of distribution. Distance-based and allele sharing-based species delimitation approaches were congruent in revealing the existence of at least eight species within\n            N. aquilex\n            and at least two species with\n            N. schellenbergi\n            . Our data demonstrate that these two common morphospecies with large ranges are actually complexes of species with narrower distributions, suggesting that the Rapoport effect might be the result of increased morphological stasis at high latitudes rather than actual differences in sizes of distribution ranges.","genre":"preprint","language":"en","note":"DOI: 10.1101/2023.08.13.553147","publisher":"Zoology","source":"DOI.org (Crossref)","title":"Water diviners multiplied: cryptic diversity in the &lt;i&gt;Niphargus aquilex&lt;/i&gt; species complex in Northern Europe","title-short":"Water diviners multiplied","URL":"http://biorxiv.org/lookup/doi/10.1101/2023.08.13.553147","author":[{"family":"Weber","given":"Dieter"},{"family":"Brad","given":"Traian"},{"family":"Weigand","given":"Alexander"},{"family":"Flot","given":"Jean-François"}],"accessed":{"date-parts":[["2023",9,26]]},"issued":{"date-parts":[["2023",8,15]]}}}],"schema":"https://github.com/citation-style-language/schema/raw/master/csl-citation.json"} </w:instrText>
            </w:r>
            <w:r>
              <w:rPr>
                <w:rFonts w:ascii="Arial" w:eastAsia="Times New Roman" w:hAnsi="Arial" w:cs="Arial"/>
                <w:sz w:val="16"/>
                <w:szCs w:val="16"/>
                <w:lang w:val="fr-FR" w:eastAsia="de-DE"/>
              </w:rPr>
              <w:fldChar w:fldCharType="separate"/>
            </w:r>
            <w:r w:rsidRPr="005C5D3B">
              <w:rPr>
                <w:rFonts w:ascii="Arial" w:hAnsi="Arial" w:cs="Arial"/>
                <w:sz w:val="16"/>
                <w:szCs w:val="24"/>
              </w:rPr>
              <w:t xml:space="preserve">(Weber </w:t>
            </w:r>
            <w:r w:rsidRPr="005C5D3B">
              <w:rPr>
                <w:rFonts w:ascii="Arial" w:hAnsi="Arial" w:cs="Arial"/>
                <w:i/>
                <w:iCs/>
                <w:sz w:val="16"/>
                <w:szCs w:val="24"/>
              </w:rPr>
              <w:t>et al.</w:t>
            </w:r>
            <w:r w:rsidRPr="005C5D3B">
              <w:rPr>
                <w:rFonts w:ascii="Arial" w:hAnsi="Arial" w:cs="Arial"/>
                <w:sz w:val="16"/>
                <w:szCs w:val="24"/>
              </w:rPr>
              <w:t xml:space="preserve"> 2023)</w:t>
            </w:r>
            <w:r>
              <w:rPr>
                <w:rFonts w:ascii="Arial" w:eastAsia="Times New Roman" w:hAnsi="Arial" w:cs="Arial"/>
                <w:sz w:val="16"/>
                <w:szCs w:val="16"/>
                <w:lang w:val="fr-FR" w:eastAsia="de-DE"/>
              </w:rPr>
              <w:fldChar w:fldCharType="end"/>
            </w:r>
          </w:p>
        </w:tc>
      </w:tr>
      <w:tr w:rsidR="005C5D3B" w:rsidRPr="009E7A40" w14:paraId="68B1D5B3" w14:textId="77777777" w:rsidTr="00307CAB">
        <w:tc>
          <w:tcPr>
            <w:tcW w:w="1201" w:type="dxa"/>
          </w:tcPr>
          <w:p w14:paraId="10AD995B" w14:textId="77777777" w:rsidR="005C5D3B" w:rsidRPr="009E7A40" w:rsidRDefault="005C5D3B" w:rsidP="00307CAB">
            <w:pPr>
              <w:rPr>
                <w:rFonts w:ascii="Arial" w:eastAsia="Times New Roman" w:hAnsi="Arial" w:cs="Arial"/>
                <w:sz w:val="16"/>
                <w:szCs w:val="16"/>
                <w:lang w:val="fr-FR" w:eastAsia="de-DE"/>
              </w:rPr>
            </w:pPr>
            <w:proofErr w:type="spellStart"/>
            <w:r w:rsidRPr="009E7A40">
              <w:rPr>
                <w:rFonts w:ascii="Arial" w:eastAsia="Times New Roman" w:hAnsi="Arial" w:cs="Arial"/>
                <w:sz w:val="16"/>
                <w:szCs w:val="16"/>
                <w:lang w:val="fr-FR" w:eastAsia="de-DE"/>
              </w:rPr>
              <w:t>Niph</w:t>
            </w:r>
            <w:proofErr w:type="spellEnd"/>
            <w:r w:rsidRPr="009E7A40">
              <w:rPr>
                <w:rFonts w:ascii="Arial" w:eastAsia="Times New Roman" w:hAnsi="Arial" w:cs="Arial"/>
                <w:sz w:val="16"/>
                <w:szCs w:val="16"/>
                <w:lang w:val="fr-FR" w:eastAsia="de-DE"/>
              </w:rPr>
              <w:t xml:space="preserve"> 16  </w:t>
            </w:r>
          </w:p>
        </w:tc>
        <w:tc>
          <w:tcPr>
            <w:tcW w:w="3756" w:type="dxa"/>
          </w:tcPr>
          <w:p w14:paraId="6EE0F92B" w14:textId="77777777" w:rsidR="005C5D3B" w:rsidRPr="009E7A40" w:rsidRDefault="005C5D3B" w:rsidP="00307CAB">
            <w:pPr>
              <w:rPr>
                <w:rFonts w:ascii="Arial" w:eastAsia="Times New Roman" w:hAnsi="Arial" w:cs="Arial"/>
                <w:sz w:val="16"/>
                <w:szCs w:val="16"/>
                <w:lang w:val="fr-FR" w:eastAsia="de-DE"/>
              </w:rPr>
            </w:pPr>
            <w:r w:rsidRPr="009E7A40">
              <w:rPr>
                <w:rFonts w:ascii="Arial" w:eastAsia="Times New Roman" w:hAnsi="Arial" w:cs="Arial"/>
                <w:sz w:val="16"/>
                <w:szCs w:val="16"/>
                <w:lang w:val="fr-FR" w:eastAsia="de-DE"/>
              </w:rPr>
              <w:t>5'-AGG GAA ACT TCG GAG GGA ACC-3'</w:t>
            </w:r>
          </w:p>
        </w:tc>
        <w:tc>
          <w:tcPr>
            <w:tcW w:w="1134" w:type="dxa"/>
          </w:tcPr>
          <w:p w14:paraId="47C3E0E7" w14:textId="77777777" w:rsidR="005C5D3B" w:rsidRPr="009E7A40" w:rsidRDefault="005C5D3B" w:rsidP="00307CAB">
            <w:pPr>
              <w:rPr>
                <w:rFonts w:ascii="Arial" w:eastAsia="Times New Roman" w:hAnsi="Arial" w:cs="Arial"/>
                <w:sz w:val="16"/>
                <w:szCs w:val="16"/>
                <w:lang w:val="fr-FR" w:eastAsia="de-DE"/>
              </w:rPr>
            </w:pPr>
            <w:r w:rsidRPr="009E7A40">
              <w:rPr>
                <w:rFonts w:ascii="Arial" w:eastAsia="Times New Roman" w:hAnsi="Arial" w:cs="Arial"/>
                <w:sz w:val="16"/>
                <w:szCs w:val="16"/>
                <w:lang w:val="fr-FR" w:eastAsia="de-DE"/>
              </w:rPr>
              <w:t>x</w:t>
            </w:r>
          </w:p>
        </w:tc>
        <w:tc>
          <w:tcPr>
            <w:tcW w:w="992" w:type="dxa"/>
          </w:tcPr>
          <w:p w14:paraId="4097E88B" w14:textId="77777777" w:rsidR="005C5D3B" w:rsidRPr="009E7A40" w:rsidRDefault="005C5D3B" w:rsidP="00307CAB">
            <w:pPr>
              <w:rPr>
                <w:rFonts w:ascii="Arial" w:eastAsia="Times New Roman" w:hAnsi="Arial" w:cs="Arial"/>
                <w:sz w:val="16"/>
                <w:szCs w:val="16"/>
                <w:lang w:val="fr-FR" w:eastAsia="de-DE"/>
              </w:rPr>
            </w:pPr>
          </w:p>
        </w:tc>
        <w:tc>
          <w:tcPr>
            <w:tcW w:w="2126" w:type="dxa"/>
          </w:tcPr>
          <w:p w14:paraId="1EC0E22F" w14:textId="77777777" w:rsidR="005C5D3B" w:rsidRPr="009E7A40" w:rsidRDefault="005C5D3B" w:rsidP="00307CAB">
            <w:pPr>
              <w:rPr>
                <w:rFonts w:ascii="Arial" w:eastAsia="Times New Roman" w:hAnsi="Arial" w:cs="Arial"/>
                <w:sz w:val="16"/>
                <w:szCs w:val="16"/>
                <w:lang w:val="fr-FR" w:eastAsia="de-DE"/>
              </w:rPr>
            </w:pPr>
            <w:r w:rsidRPr="009E7A40">
              <w:rPr>
                <w:rFonts w:ascii="Arial" w:eastAsia="Times New Roman" w:hAnsi="Arial" w:cs="Arial"/>
                <w:sz w:val="16"/>
                <w:szCs w:val="16"/>
                <w:lang w:eastAsia="de-DE"/>
              </w:rPr>
              <w:fldChar w:fldCharType="begin"/>
            </w:r>
            <w:r>
              <w:rPr>
                <w:rFonts w:ascii="Arial" w:eastAsia="Times New Roman" w:hAnsi="Arial" w:cs="Arial"/>
                <w:sz w:val="16"/>
                <w:szCs w:val="16"/>
                <w:lang w:val="fr-FR" w:eastAsia="de-DE"/>
              </w:rPr>
              <w:instrText xml:space="preserve"> ADDIN ZOTERO_ITEM CSL_CITATION {"citationID":"dYj7WBeW","properties":{"formattedCitation":"(Verovnik {\\i{}et al.} 2005)","plainCitation":"(Verovnik et al. 2005)","noteIndex":0},"citationItems":[{"id":"5tILPP4K/C8sky4iW","uris":["http://zotero.org/users/local/Us0k2a4O/items/AZVR2K8T",["http://zotero.org/users/local/Us0k2a4O/items/AZVR2K8T"]],"itemData":{"id":413,"type":"article-journal","title":"The colonization of Europe by the freshwater crustacean Asellus aquaticus (Crustacea: Isopoda) proceeded from ancient refugia and was directed by habitat connectivity: COLONIZATION OF EUROPE BY ASELLUS AQUATICUS","container-title":"Molecular Ecology","page":"4355-4369","volume":"14","issue":"14","source":"DOI.org (Crossref)","DOI":"10.1111/j.1365-294X.2005.02745.x","ISSN":"09621083, 1365294X","title-short":"The colonization of Europe by the freshwater crustacean Asellus aquaticus (Crustacea","language":"en","author":[{"family":"Verovnik","given":"R."},{"family":"Sket","given":"B."},{"family":"Trontelj","given":"P."}],"issued":{"date-parts":[["2005",10,3]]}}}],"schema":"https://github.com/citation-style-language/schema/raw/master/csl-citation.json"} </w:instrText>
            </w:r>
            <w:r w:rsidRPr="009E7A40">
              <w:rPr>
                <w:rFonts w:ascii="Arial" w:eastAsia="Times New Roman" w:hAnsi="Arial" w:cs="Arial"/>
                <w:sz w:val="16"/>
                <w:szCs w:val="16"/>
                <w:lang w:eastAsia="de-DE"/>
              </w:rPr>
              <w:fldChar w:fldCharType="separate"/>
            </w:r>
            <w:r w:rsidRPr="005C5D3B">
              <w:rPr>
                <w:rFonts w:ascii="Arial" w:hAnsi="Arial" w:cs="Arial"/>
                <w:sz w:val="16"/>
                <w:szCs w:val="24"/>
              </w:rPr>
              <w:t xml:space="preserve">(Verovnik </w:t>
            </w:r>
            <w:r w:rsidRPr="005C5D3B">
              <w:rPr>
                <w:rFonts w:ascii="Arial" w:hAnsi="Arial" w:cs="Arial"/>
                <w:i/>
                <w:iCs/>
                <w:sz w:val="16"/>
                <w:szCs w:val="24"/>
              </w:rPr>
              <w:t>et al.</w:t>
            </w:r>
            <w:r w:rsidRPr="005C5D3B">
              <w:rPr>
                <w:rFonts w:ascii="Arial" w:hAnsi="Arial" w:cs="Arial"/>
                <w:sz w:val="16"/>
                <w:szCs w:val="24"/>
              </w:rPr>
              <w:t xml:space="preserve"> 2005)</w:t>
            </w:r>
            <w:r w:rsidRPr="009E7A40">
              <w:rPr>
                <w:rFonts w:ascii="Arial" w:eastAsia="Times New Roman" w:hAnsi="Arial" w:cs="Arial"/>
                <w:sz w:val="16"/>
                <w:szCs w:val="16"/>
                <w:lang w:eastAsia="de-DE"/>
              </w:rPr>
              <w:fldChar w:fldCharType="end"/>
            </w:r>
          </w:p>
        </w:tc>
      </w:tr>
      <w:tr w:rsidR="005C5D3B" w:rsidRPr="009E7A40" w14:paraId="7D531803" w14:textId="77777777" w:rsidTr="00307CAB">
        <w:tc>
          <w:tcPr>
            <w:tcW w:w="1201" w:type="dxa"/>
          </w:tcPr>
          <w:p w14:paraId="09602FD0" w14:textId="77777777" w:rsidR="005C5D3B" w:rsidRPr="009E7A40" w:rsidRDefault="005C5D3B" w:rsidP="00307CAB">
            <w:pPr>
              <w:rPr>
                <w:rFonts w:ascii="Arial" w:eastAsia="Times New Roman" w:hAnsi="Arial" w:cs="Arial"/>
                <w:sz w:val="16"/>
                <w:szCs w:val="16"/>
                <w:lang w:eastAsia="de-DE"/>
              </w:rPr>
            </w:pPr>
            <w:proofErr w:type="spellStart"/>
            <w:r w:rsidRPr="009E7A40">
              <w:rPr>
                <w:rFonts w:ascii="Arial" w:eastAsia="Times New Roman" w:hAnsi="Arial" w:cs="Arial"/>
                <w:sz w:val="16"/>
                <w:szCs w:val="16"/>
                <w:lang w:eastAsia="de-DE"/>
              </w:rPr>
              <w:t>Niph</w:t>
            </w:r>
            <w:proofErr w:type="spellEnd"/>
            <w:r w:rsidRPr="009E7A40">
              <w:rPr>
                <w:rFonts w:ascii="Arial" w:eastAsia="Times New Roman" w:hAnsi="Arial" w:cs="Arial"/>
                <w:sz w:val="16"/>
                <w:szCs w:val="16"/>
                <w:lang w:eastAsia="de-DE"/>
              </w:rPr>
              <w:t xml:space="preserve"> 20   </w:t>
            </w:r>
          </w:p>
        </w:tc>
        <w:tc>
          <w:tcPr>
            <w:tcW w:w="3756" w:type="dxa"/>
          </w:tcPr>
          <w:p w14:paraId="4A16F4BC" w14:textId="77777777" w:rsidR="005C5D3B" w:rsidRPr="009E7A40" w:rsidRDefault="005C5D3B" w:rsidP="00307CAB">
            <w:pPr>
              <w:rPr>
                <w:rFonts w:ascii="Arial" w:eastAsia="Times New Roman" w:hAnsi="Arial" w:cs="Arial"/>
                <w:sz w:val="16"/>
                <w:szCs w:val="16"/>
                <w:lang w:eastAsia="de-DE"/>
              </w:rPr>
            </w:pPr>
            <w:r w:rsidRPr="009E7A40">
              <w:rPr>
                <w:rFonts w:ascii="Arial" w:eastAsia="Times New Roman" w:hAnsi="Arial" w:cs="Arial"/>
                <w:sz w:val="16"/>
                <w:szCs w:val="16"/>
                <w:lang w:eastAsia="de-DE"/>
              </w:rPr>
              <w:t>5'-AAA CAC GGG CCA AGG AGT AT-3'</w:t>
            </w:r>
          </w:p>
        </w:tc>
        <w:tc>
          <w:tcPr>
            <w:tcW w:w="1134" w:type="dxa"/>
          </w:tcPr>
          <w:p w14:paraId="6DB7B6A5" w14:textId="77777777" w:rsidR="005C5D3B" w:rsidRPr="009E7A40" w:rsidRDefault="005C5D3B" w:rsidP="00307CAB">
            <w:pPr>
              <w:rPr>
                <w:rFonts w:ascii="Arial" w:eastAsia="Times New Roman" w:hAnsi="Arial" w:cs="Arial"/>
                <w:sz w:val="16"/>
                <w:szCs w:val="16"/>
                <w:lang w:eastAsia="de-DE"/>
              </w:rPr>
            </w:pPr>
          </w:p>
        </w:tc>
        <w:tc>
          <w:tcPr>
            <w:tcW w:w="992" w:type="dxa"/>
          </w:tcPr>
          <w:p w14:paraId="3BE6DCCA" w14:textId="77777777" w:rsidR="005C5D3B" w:rsidRPr="009E7A40" w:rsidRDefault="005C5D3B" w:rsidP="00307CAB">
            <w:pPr>
              <w:rPr>
                <w:rFonts w:ascii="Arial" w:eastAsia="Times New Roman" w:hAnsi="Arial" w:cs="Arial"/>
                <w:sz w:val="16"/>
                <w:szCs w:val="16"/>
                <w:lang w:eastAsia="de-DE"/>
              </w:rPr>
            </w:pPr>
            <w:r w:rsidRPr="009E7A40">
              <w:rPr>
                <w:rFonts w:ascii="Arial" w:eastAsia="Times New Roman" w:hAnsi="Arial" w:cs="Arial"/>
                <w:sz w:val="16"/>
                <w:szCs w:val="16"/>
                <w:lang w:eastAsia="de-DE"/>
              </w:rPr>
              <w:t>x</w:t>
            </w:r>
          </w:p>
        </w:tc>
        <w:tc>
          <w:tcPr>
            <w:tcW w:w="2126" w:type="dxa"/>
          </w:tcPr>
          <w:p w14:paraId="22B10D2C" w14:textId="77777777" w:rsidR="005C5D3B" w:rsidRPr="009E7A40" w:rsidRDefault="005C5D3B" w:rsidP="00307CAB">
            <w:pPr>
              <w:rPr>
                <w:rFonts w:ascii="Arial" w:eastAsia="Times New Roman" w:hAnsi="Arial" w:cs="Arial"/>
                <w:sz w:val="16"/>
                <w:szCs w:val="16"/>
                <w:lang w:eastAsia="de-DE"/>
              </w:rPr>
            </w:pPr>
            <w:r w:rsidRPr="009E7A40">
              <w:rPr>
                <w:rFonts w:ascii="Arial" w:eastAsia="Times New Roman" w:hAnsi="Arial" w:cs="Arial"/>
                <w:sz w:val="16"/>
                <w:szCs w:val="16"/>
                <w:lang w:val="fr-FR" w:eastAsia="de-DE"/>
              </w:rPr>
              <w:fldChar w:fldCharType="begin"/>
            </w:r>
            <w:r>
              <w:rPr>
                <w:rFonts w:ascii="Arial" w:eastAsia="Times New Roman" w:hAnsi="Arial" w:cs="Arial"/>
                <w:sz w:val="16"/>
                <w:szCs w:val="16"/>
                <w:lang w:eastAsia="de-DE"/>
              </w:rPr>
              <w:instrText xml:space="preserve"> ADDIN ZOTERO_ITEM CSL_CITATION {"citationID":"tkYE9Dxx","properties":{"formattedCitation":"(Flot {\\i{}et al.} 2010)","plainCitation":"(Flot et al. 2010)","noteIndex":0},"citationItems":[{"id":"5tILPP4K/PkTLVxiw","uris":["http://zotero.org/users/local/Us0k2a4O/items/LYUUTVBM",["http://zotero.org/users/local/Us0k2a4O/items/LYUUTVBM"]],"itemData":{"id":66,"type":"article-journal","title":"Unsuspected diversity of &lt;i&gt;Niphargus &lt;/i&gt;amphipods in the chemoautotrophic cave ecosystem of Frasassi, central Italy","container-title":"BMC Evolutionary Biology","page":"171","volume":"10","abstract":"BACKGROUND:The sulfide-rich Frasassi caves in central Italy contain a rare example of a freshwater ecosystem supported entirely by chemoautotrophy. Niphargus ictus, the sole amphipod species previously reported from this locality, was recently shown to host the first known case of a freshwater chemoautotrophic symbiosis. Since the habitat of N. ictus is highly fragmented and is comprised of streams and lakes with various sulfide concentrations, we conducted a detailed study to examine the potential genetic diversity of this species within Frasassi.RESULTS:By sequencing one nuclear (ITS) and two mitochondrial (COI and 12S) regions, we show that four partially sympatric Niphargus clades are present in Frasassi. Morphological and behavioral data obtained for three of these clades are perfectly congruent with this molecular delineation and make it possible to distinguish them in the field. Phylogenetic analyses of 28S ribosomal DNA sequences reveal that, among the four clades, only two are closely related to each other. Moreover, these four clades occupy distinct niches that seem to be related to the chemical properties and flow regimes of the various water bodies within Frasassi.CONCLUSIONS:Our results suggest that four distinct Niphargus species are present in Frasassi and that they originated from three or four independent invasions of the cave system. At least two among the four species harbor Thiothrix epibionts, which paves the way for further studies of the specificity and evolutionary history of this symbiosis.","DOI":"10/dbpkg8","ISSN":"1471-2148","author":[{"family":"Flot","given":"Jean-François"},{"family":"Wörheide","given":"Gert"},{"family":"Dattagupta","given":"Sharmishtha"}],"issued":{"date-parts":[["2010"]]}}}],"schema":"https://github.com/citation-style-language/schema/raw/master/csl-citation.json"} </w:instrText>
            </w:r>
            <w:r w:rsidRPr="009E7A40">
              <w:rPr>
                <w:rFonts w:ascii="Arial" w:eastAsia="Times New Roman" w:hAnsi="Arial" w:cs="Arial"/>
                <w:sz w:val="16"/>
                <w:szCs w:val="16"/>
                <w:lang w:val="fr-FR" w:eastAsia="de-DE"/>
              </w:rPr>
              <w:fldChar w:fldCharType="separate"/>
            </w:r>
            <w:r w:rsidRPr="005C5D3B">
              <w:rPr>
                <w:rFonts w:ascii="Arial" w:hAnsi="Arial" w:cs="Arial"/>
                <w:sz w:val="16"/>
                <w:szCs w:val="24"/>
              </w:rPr>
              <w:t xml:space="preserve">(Flot </w:t>
            </w:r>
            <w:r w:rsidRPr="005C5D3B">
              <w:rPr>
                <w:rFonts w:ascii="Arial" w:hAnsi="Arial" w:cs="Arial"/>
                <w:i/>
                <w:iCs/>
                <w:sz w:val="16"/>
                <w:szCs w:val="24"/>
              </w:rPr>
              <w:t>et al.</w:t>
            </w:r>
            <w:r w:rsidRPr="005C5D3B">
              <w:rPr>
                <w:rFonts w:ascii="Arial" w:hAnsi="Arial" w:cs="Arial"/>
                <w:sz w:val="16"/>
                <w:szCs w:val="24"/>
              </w:rPr>
              <w:t xml:space="preserve"> 2010)</w:t>
            </w:r>
            <w:r w:rsidRPr="009E7A40">
              <w:rPr>
                <w:rFonts w:ascii="Arial" w:eastAsia="Times New Roman" w:hAnsi="Arial" w:cs="Arial"/>
                <w:sz w:val="16"/>
                <w:szCs w:val="16"/>
                <w:lang w:val="fr-FR" w:eastAsia="de-DE"/>
              </w:rPr>
              <w:fldChar w:fldCharType="end"/>
            </w:r>
          </w:p>
        </w:tc>
      </w:tr>
      <w:tr w:rsidR="005C5D3B" w:rsidRPr="009E7A40" w14:paraId="3BF167A8" w14:textId="77777777" w:rsidTr="00307CAB">
        <w:tc>
          <w:tcPr>
            <w:tcW w:w="1201" w:type="dxa"/>
          </w:tcPr>
          <w:p w14:paraId="77CD32C8" w14:textId="77777777" w:rsidR="005C5D3B" w:rsidRPr="009E7A40" w:rsidRDefault="005C5D3B" w:rsidP="00307CAB">
            <w:pPr>
              <w:rPr>
                <w:rFonts w:ascii="Arial" w:eastAsia="Times New Roman" w:hAnsi="Arial" w:cs="Arial"/>
                <w:sz w:val="16"/>
                <w:szCs w:val="16"/>
                <w:lang w:eastAsia="de-DE"/>
              </w:rPr>
            </w:pPr>
            <w:proofErr w:type="spellStart"/>
            <w:r w:rsidRPr="009E7A40">
              <w:rPr>
                <w:rFonts w:ascii="Arial" w:eastAsia="Times New Roman" w:hAnsi="Arial" w:cs="Arial"/>
                <w:sz w:val="16"/>
                <w:szCs w:val="16"/>
                <w:lang w:eastAsia="de-DE"/>
              </w:rPr>
              <w:t>Niph</w:t>
            </w:r>
            <w:proofErr w:type="spellEnd"/>
            <w:r w:rsidRPr="009E7A40">
              <w:rPr>
                <w:rFonts w:ascii="Arial" w:eastAsia="Times New Roman" w:hAnsi="Arial" w:cs="Arial"/>
                <w:sz w:val="16"/>
                <w:szCs w:val="16"/>
                <w:lang w:eastAsia="de-DE"/>
              </w:rPr>
              <w:t xml:space="preserve"> 21  </w:t>
            </w:r>
          </w:p>
        </w:tc>
        <w:tc>
          <w:tcPr>
            <w:tcW w:w="3756" w:type="dxa"/>
          </w:tcPr>
          <w:p w14:paraId="16222110" w14:textId="77777777" w:rsidR="005C5D3B" w:rsidRPr="009E7A40" w:rsidRDefault="005C5D3B" w:rsidP="00307CAB">
            <w:pPr>
              <w:rPr>
                <w:rFonts w:ascii="Arial" w:eastAsia="Times New Roman" w:hAnsi="Arial" w:cs="Arial"/>
                <w:sz w:val="16"/>
                <w:szCs w:val="16"/>
                <w:lang w:eastAsia="de-DE"/>
              </w:rPr>
            </w:pPr>
            <w:r w:rsidRPr="009E7A40">
              <w:rPr>
                <w:rFonts w:ascii="Arial" w:eastAsia="Times New Roman" w:hAnsi="Arial" w:cs="Arial"/>
                <w:sz w:val="16"/>
                <w:szCs w:val="16"/>
                <w:lang w:eastAsia="de-DE"/>
              </w:rPr>
              <w:t>5'-TAT ACT CCT TGG CCC GTG TT-3'</w:t>
            </w:r>
          </w:p>
        </w:tc>
        <w:tc>
          <w:tcPr>
            <w:tcW w:w="1134" w:type="dxa"/>
          </w:tcPr>
          <w:p w14:paraId="365B26C6" w14:textId="77777777" w:rsidR="005C5D3B" w:rsidRPr="009E7A40" w:rsidRDefault="005C5D3B" w:rsidP="00307CAB">
            <w:pPr>
              <w:rPr>
                <w:rFonts w:ascii="Arial" w:eastAsia="Times New Roman" w:hAnsi="Arial" w:cs="Arial"/>
                <w:sz w:val="16"/>
                <w:szCs w:val="16"/>
                <w:lang w:eastAsia="de-DE"/>
              </w:rPr>
            </w:pPr>
          </w:p>
        </w:tc>
        <w:tc>
          <w:tcPr>
            <w:tcW w:w="992" w:type="dxa"/>
          </w:tcPr>
          <w:p w14:paraId="61EB4A1A" w14:textId="77777777" w:rsidR="005C5D3B" w:rsidRPr="009E7A40" w:rsidRDefault="005C5D3B" w:rsidP="00307CAB">
            <w:pPr>
              <w:rPr>
                <w:rFonts w:ascii="Arial" w:eastAsia="Times New Roman" w:hAnsi="Arial" w:cs="Arial"/>
                <w:sz w:val="16"/>
                <w:szCs w:val="16"/>
                <w:lang w:eastAsia="de-DE"/>
              </w:rPr>
            </w:pPr>
            <w:r w:rsidRPr="009E7A40">
              <w:rPr>
                <w:rFonts w:ascii="Arial" w:eastAsia="Times New Roman" w:hAnsi="Arial" w:cs="Arial"/>
                <w:sz w:val="16"/>
                <w:szCs w:val="16"/>
                <w:lang w:eastAsia="de-DE"/>
              </w:rPr>
              <w:t>x</w:t>
            </w:r>
          </w:p>
        </w:tc>
        <w:tc>
          <w:tcPr>
            <w:tcW w:w="2126" w:type="dxa"/>
          </w:tcPr>
          <w:p w14:paraId="1A86AEED" w14:textId="77777777" w:rsidR="005C5D3B" w:rsidRPr="009E7A40" w:rsidRDefault="005C5D3B" w:rsidP="00307CAB">
            <w:pPr>
              <w:rPr>
                <w:rFonts w:ascii="Arial" w:eastAsia="Times New Roman" w:hAnsi="Arial" w:cs="Arial"/>
                <w:sz w:val="16"/>
                <w:szCs w:val="16"/>
                <w:lang w:eastAsia="de-DE"/>
              </w:rPr>
            </w:pPr>
            <w:r w:rsidRPr="009E7A40">
              <w:rPr>
                <w:rFonts w:ascii="Arial" w:eastAsia="Times New Roman" w:hAnsi="Arial" w:cs="Arial"/>
                <w:sz w:val="16"/>
                <w:szCs w:val="16"/>
                <w:lang w:eastAsia="de-DE"/>
              </w:rPr>
              <w:fldChar w:fldCharType="begin"/>
            </w:r>
            <w:r>
              <w:rPr>
                <w:rFonts w:ascii="Arial" w:eastAsia="Times New Roman" w:hAnsi="Arial" w:cs="Arial"/>
                <w:sz w:val="16"/>
                <w:szCs w:val="16"/>
                <w:lang w:eastAsia="de-DE"/>
              </w:rPr>
              <w:instrText xml:space="preserve"> ADDIN ZOTERO_ITEM CSL_CITATION {"citationID":"pRg8Prkd","properties":{"formattedCitation":"(Flot {\\i{}et al.} 2010)","plainCitation":"(Flot et al. 2010)","noteIndex":0},"citationItems":[{"id":"5tILPP4K/PkTLVxiw","uris":["http://zotero.org/users/local/Us0k2a4O/items/LYUUTVBM",["http://zotero.org/users/local/Us0k2a4O/items/LYUUTVBM"]],"itemData":{"id":66,"type":"article-journal","title":"Unsuspected diversity of &lt;i&gt;Niphargus &lt;/i&gt;amphipods in the chemoautotrophic cave ecosystem of Frasassi, central Italy","container-title":"BMC Evolutionary Biology","page":"171","volume":"10","abstract":"BACKGROUND:The sulfide-rich Frasassi caves in central Italy contain a rare example of a freshwater ecosystem supported entirely by chemoautotrophy. Niphargus ictus, the sole amphipod species previously reported from this locality, was recently shown to host the first known case of a freshwater chemoautotrophic symbiosis. Since the habitat of N. ictus is highly fragmented and is comprised of streams and lakes with various sulfide concentrations, we conducted a detailed study to examine the potential genetic diversity of this species within Frasassi.RESULTS:By sequencing one nuclear (ITS) and two mitochondrial (COI and 12S) regions, we show that four partially sympatric Niphargus clades are present in Frasassi. Morphological and behavioral data obtained for three of these clades are perfectly congruent with this molecular delineation and make it possible to distinguish them in the field. Phylogenetic analyses of 28S ribosomal DNA sequences reveal that, among the four clades, only two are closely related to each other. Moreover, these four clades occupy distinct niches that seem to be related to the chemical properties and flow regimes of the various water bodies within Frasassi.CONCLUSIONS:Our results suggest that four distinct Niphargus species are present in Frasassi and that they originated from three or four independent invasions of the cave system. At least two among the four species harbor Thiothrix epibionts, which paves the way for further studies of the specificity and evolutionary history of this symbiosis.","DOI":"10/dbpkg8","ISSN":"1471-2148","author":[{"family":"Flot","given":"Jean-François"},{"family":"Wörheide","given":"Gert"},{"family":"Dattagupta","given":"Sharmishtha"}],"issued":{"date-parts":[["2010"]]}}}],"schema":"https://github.com/citation-style-language/schema/raw/master/csl-citation.json"} </w:instrText>
            </w:r>
            <w:r w:rsidRPr="009E7A40">
              <w:rPr>
                <w:rFonts w:ascii="Arial" w:eastAsia="Times New Roman" w:hAnsi="Arial" w:cs="Arial"/>
                <w:sz w:val="16"/>
                <w:szCs w:val="16"/>
                <w:lang w:eastAsia="de-DE"/>
              </w:rPr>
              <w:fldChar w:fldCharType="separate"/>
            </w:r>
            <w:r w:rsidRPr="005C5D3B">
              <w:rPr>
                <w:rFonts w:ascii="Arial" w:hAnsi="Arial" w:cs="Arial"/>
                <w:sz w:val="16"/>
                <w:szCs w:val="24"/>
              </w:rPr>
              <w:t xml:space="preserve">(Flot </w:t>
            </w:r>
            <w:r w:rsidRPr="005C5D3B">
              <w:rPr>
                <w:rFonts w:ascii="Arial" w:hAnsi="Arial" w:cs="Arial"/>
                <w:i/>
                <w:iCs/>
                <w:sz w:val="16"/>
                <w:szCs w:val="24"/>
              </w:rPr>
              <w:t>et al.</w:t>
            </w:r>
            <w:r w:rsidRPr="005C5D3B">
              <w:rPr>
                <w:rFonts w:ascii="Arial" w:hAnsi="Arial" w:cs="Arial"/>
                <w:sz w:val="16"/>
                <w:szCs w:val="24"/>
              </w:rPr>
              <w:t xml:space="preserve"> 2010)</w:t>
            </w:r>
            <w:r w:rsidRPr="009E7A40">
              <w:rPr>
                <w:rFonts w:ascii="Arial" w:eastAsia="Times New Roman" w:hAnsi="Arial" w:cs="Arial"/>
                <w:sz w:val="16"/>
                <w:szCs w:val="16"/>
                <w:lang w:eastAsia="de-DE"/>
              </w:rPr>
              <w:fldChar w:fldCharType="end"/>
            </w:r>
          </w:p>
        </w:tc>
      </w:tr>
    </w:tbl>
    <w:p w14:paraId="37225C4B" w14:textId="77777777" w:rsidR="00902357" w:rsidRDefault="00902357"/>
    <w:p w14:paraId="3C3B6EEE" w14:textId="77777777" w:rsidR="005C5D3B" w:rsidRPr="00A72429" w:rsidRDefault="005C5D3B" w:rsidP="005C5D3B">
      <w:pPr>
        <w:pStyle w:val="Bibliography"/>
        <w:rPr>
          <w:rFonts w:ascii="Times New Roman" w:hAnsi="Times New Roman" w:cs="Times New Roman"/>
          <w:sz w:val="24"/>
          <w:szCs w:val="24"/>
        </w:rPr>
      </w:pPr>
      <w:r w:rsidRPr="00A72429">
        <w:rPr>
          <w:rFonts w:ascii="Times New Roman" w:hAnsi="Times New Roman" w:cs="Times New Roman"/>
          <w:sz w:val="24"/>
          <w:szCs w:val="24"/>
        </w:rPr>
        <w:fldChar w:fldCharType="begin"/>
      </w:r>
      <w:r w:rsidRPr="00635990">
        <w:rPr>
          <w:rFonts w:ascii="Times New Roman" w:hAnsi="Times New Roman" w:cs="Times New Roman"/>
          <w:sz w:val="24"/>
          <w:szCs w:val="24"/>
          <w:lang w:val="nl-BE"/>
        </w:rPr>
        <w:instrText xml:space="preserve"> ADDIN ZOTERO_BIBL {"uncited":[],"omitted":[],"custom":[]} CSL_BIBLIOGRAPHY </w:instrText>
      </w:r>
      <w:r w:rsidRPr="00A72429">
        <w:rPr>
          <w:rFonts w:ascii="Times New Roman" w:hAnsi="Times New Roman" w:cs="Times New Roman"/>
          <w:sz w:val="24"/>
          <w:szCs w:val="24"/>
        </w:rPr>
        <w:fldChar w:fldCharType="separate"/>
      </w:r>
      <w:r w:rsidRPr="00635990">
        <w:rPr>
          <w:rFonts w:ascii="Times New Roman" w:hAnsi="Times New Roman" w:cs="Times New Roman"/>
          <w:sz w:val="24"/>
          <w:szCs w:val="24"/>
          <w:lang w:val="nl-BE"/>
        </w:rPr>
        <w:t xml:space="preserve">Astrin J.J. &amp; Stüben P.E. 2008. </w:t>
      </w:r>
      <w:r w:rsidRPr="00A72429">
        <w:rPr>
          <w:rFonts w:ascii="Times New Roman" w:hAnsi="Times New Roman" w:cs="Times New Roman"/>
          <w:sz w:val="24"/>
          <w:szCs w:val="24"/>
        </w:rPr>
        <w:t xml:space="preserve">Phylogeny in cryptic weevils: molecules, morphology and new genera of western Palaearctic Cryptorhynchinae (Coleoptera:Curculionidae). </w:t>
      </w:r>
      <w:r w:rsidRPr="00A72429">
        <w:rPr>
          <w:rFonts w:ascii="Times New Roman" w:hAnsi="Times New Roman" w:cs="Times New Roman"/>
          <w:i/>
          <w:iCs/>
          <w:sz w:val="24"/>
          <w:szCs w:val="24"/>
        </w:rPr>
        <w:t>Invertebrate Systematics</w:t>
      </w:r>
      <w:r w:rsidRPr="00A72429">
        <w:rPr>
          <w:rFonts w:ascii="Times New Roman" w:hAnsi="Times New Roman" w:cs="Times New Roman"/>
          <w:sz w:val="24"/>
          <w:szCs w:val="24"/>
        </w:rPr>
        <w:t xml:space="preserve"> 22 (5): 503. https://doi.org/10.1071/IS07057</w:t>
      </w:r>
    </w:p>
    <w:p w14:paraId="4F1B7774" w14:textId="77777777" w:rsidR="005C5D3B" w:rsidRPr="00A72429" w:rsidRDefault="005C5D3B" w:rsidP="005C5D3B">
      <w:pPr>
        <w:pStyle w:val="Bibliography"/>
        <w:rPr>
          <w:rFonts w:ascii="Times New Roman" w:hAnsi="Times New Roman" w:cs="Times New Roman"/>
          <w:sz w:val="24"/>
          <w:szCs w:val="24"/>
        </w:rPr>
      </w:pPr>
      <w:r w:rsidRPr="00A72429">
        <w:rPr>
          <w:rFonts w:ascii="Times New Roman" w:hAnsi="Times New Roman" w:cs="Times New Roman"/>
          <w:sz w:val="24"/>
          <w:szCs w:val="24"/>
        </w:rPr>
        <w:t xml:space="preserve">Flot J.-F., Wörheide G. &amp; Dattagupta S. 2010. Unsuspected diversity of </w:t>
      </w:r>
      <w:r w:rsidRPr="00A72429">
        <w:rPr>
          <w:rFonts w:ascii="Times New Roman" w:hAnsi="Times New Roman" w:cs="Times New Roman"/>
          <w:i/>
          <w:iCs/>
          <w:sz w:val="24"/>
          <w:szCs w:val="24"/>
        </w:rPr>
        <w:t xml:space="preserve">Niphargus </w:t>
      </w:r>
      <w:r w:rsidRPr="00A72429">
        <w:rPr>
          <w:rFonts w:ascii="Times New Roman" w:hAnsi="Times New Roman" w:cs="Times New Roman"/>
          <w:sz w:val="24"/>
          <w:szCs w:val="24"/>
        </w:rPr>
        <w:t xml:space="preserve">amphipods in the chemoautotrophic cave ecosystem of Frasassi, central Italy. </w:t>
      </w:r>
      <w:r w:rsidRPr="00A72429">
        <w:rPr>
          <w:rFonts w:ascii="Times New Roman" w:hAnsi="Times New Roman" w:cs="Times New Roman"/>
          <w:i/>
          <w:iCs/>
          <w:sz w:val="24"/>
          <w:szCs w:val="24"/>
        </w:rPr>
        <w:t>BMC Evolutionary Biology</w:t>
      </w:r>
      <w:r w:rsidRPr="00A72429">
        <w:rPr>
          <w:rFonts w:ascii="Times New Roman" w:hAnsi="Times New Roman" w:cs="Times New Roman"/>
          <w:sz w:val="24"/>
          <w:szCs w:val="24"/>
        </w:rPr>
        <w:t xml:space="preserve"> 10: 171. https://doi.org/10/dbpkg8</w:t>
      </w:r>
    </w:p>
    <w:p w14:paraId="6BC2728E" w14:textId="77777777" w:rsidR="005C5D3B" w:rsidRPr="00A72429" w:rsidRDefault="005C5D3B" w:rsidP="005C5D3B">
      <w:pPr>
        <w:pStyle w:val="Bibliography"/>
        <w:rPr>
          <w:rFonts w:ascii="Times New Roman" w:hAnsi="Times New Roman" w:cs="Times New Roman"/>
          <w:sz w:val="24"/>
          <w:szCs w:val="24"/>
        </w:rPr>
      </w:pPr>
      <w:r w:rsidRPr="00A72429">
        <w:rPr>
          <w:rFonts w:ascii="Times New Roman" w:hAnsi="Times New Roman" w:cs="Times New Roman"/>
          <w:sz w:val="24"/>
          <w:szCs w:val="24"/>
        </w:rPr>
        <w:t xml:space="preserve">Folmer O., Black M., Hoeh W., Lutz R. &amp; Vrijenhoek R. 1994. DNA primers for amplification of mitochondrial cytochrome </w:t>
      </w:r>
      <w:r w:rsidRPr="00A72429">
        <w:rPr>
          <w:rFonts w:ascii="Times New Roman" w:hAnsi="Times New Roman" w:cs="Times New Roman"/>
          <w:i/>
          <w:iCs/>
          <w:sz w:val="24"/>
          <w:szCs w:val="24"/>
        </w:rPr>
        <w:t>c</w:t>
      </w:r>
      <w:r w:rsidRPr="00A72429">
        <w:rPr>
          <w:rFonts w:ascii="Times New Roman" w:hAnsi="Times New Roman" w:cs="Times New Roman"/>
          <w:sz w:val="24"/>
          <w:szCs w:val="24"/>
        </w:rPr>
        <w:t xml:space="preserve"> oxidase subunit I from diverse metazoan invertebrates. </w:t>
      </w:r>
      <w:r w:rsidRPr="00A72429">
        <w:rPr>
          <w:rFonts w:ascii="Times New Roman" w:hAnsi="Times New Roman" w:cs="Times New Roman"/>
          <w:i/>
          <w:iCs/>
          <w:sz w:val="24"/>
          <w:szCs w:val="24"/>
        </w:rPr>
        <w:t>Molecular Marine Biology and Biotechnology</w:t>
      </w:r>
      <w:r w:rsidRPr="00A72429">
        <w:rPr>
          <w:rFonts w:ascii="Times New Roman" w:hAnsi="Times New Roman" w:cs="Times New Roman"/>
          <w:sz w:val="24"/>
          <w:szCs w:val="24"/>
        </w:rPr>
        <w:t xml:space="preserve"> 3 (5): 294–299.</w:t>
      </w:r>
    </w:p>
    <w:p w14:paraId="1DB1B47D" w14:textId="77777777" w:rsidR="005C5D3B" w:rsidRPr="00A72429" w:rsidRDefault="005C5D3B" w:rsidP="005C5D3B">
      <w:pPr>
        <w:pStyle w:val="Bibliography"/>
        <w:rPr>
          <w:rFonts w:ascii="Times New Roman" w:hAnsi="Times New Roman" w:cs="Times New Roman"/>
          <w:sz w:val="24"/>
          <w:szCs w:val="24"/>
        </w:rPr>
      </w:pPr>
      <w:r w:rsidRPr="00A72429">
        <w:rPr>
          <w:rFonts w:ascii="Times New Roman" w:hAnsi="Times New Roman" w:cs="Times New Roman"/>
          <w:sz w:val="24"/>
          <w:szCs w:val="24"/>
        </w:rPr>
        <w:t xml:space="preserve">Verovnik R., Sket B. &amp; Trontelj P. 2005. The colonization of Europe by the freshwater crustacean Asellus aquaticus (Crustacea: Isopoda) proceeded from ancient refugia and was directed by habitat connectivity: COLONIZATION OF EUROPE BY ASELLUS AQUATICUS. </w:t>
      </w:r>
      <w:r w:rsidRPr="00A72429">
        <w:rPr>
          <w:rFonts w:ascii="Times New Roman" w:hAnsi="Times New Roman" w:cs="Times New Roman"/>
          <w:i/>
          <w:iCs/>
          <w:sz w:val="24"/>
          <w:szCs w:val="24"/>
        </w:rPr>
        <w:t>Molecular Ecology</w:t>
      </w:r>
      <w:r w:rsidRPr="00A72429">
        <w:rPr>
          <w:rFonts w:ascii="Times New Roman" w:hAnsi="Times New Roman" w:cs="Times New Roman"/>
          <w:sz w:val="24"/>
          <w:szCs w:val="24"/>
        </w:rPr>
        <w:t xml:space="preserve"> 14 (14): 4355–4369. https://doi.org/10.1111/j.1365-294X.2005.02745.x</w:t>
      </w:r>
    </w:p>
    <w:p w14:paraId="4565DF79" w14:textId="77777777" w:rsidR="005C5D3B" w:rsidRPr="00A72429" w:rsidRDefault="005C5D3B" w:rsidP="005C5D3B">
      <w:pPr>
        <w:pStyle w:val="Bibliography"/>
        <w:rPr>
          <w:rFonts w:ascii="Times New Roman" w:hAnsi="Times New Roman" w:cs="Times New Roman"/>
          <w:sz w:val="24"/>
          <w:szCs w:val="24"/>
        </w:rPr>
      </w:pPr>
      <w:r w:rsidRPr="00A72429">
        <w:rPr>
          <w:rFonts w:ascii="Times New Roman" w:hAnsi="Times New Roman" w:cs="Times New Roman"/>
          <w:sz w:val="24"/>
          <w:szCs w:val="24"/>
        </w:rPr>
        <w:t xml:space="preserve">Weber D., Brad T., Weigand A. &amp; Flot J.-F. 2023. Water diviners multiplied: cryptic diversity in the </w:t>
      </w:r>
      <w:r w:rsidRPr="00A72429">
        <w:rPr>
          <w:rFonts w:ascii="Times New Roman" w:hAnsi="Times New Roman" w:cs="Times New Roman"/>
          <w:i/>
          <w:iCs/>
          <w:sz w:val="24"/>
          <w:szCs w:val="24"/>
        </w:rPr>
        <w:t>Niphargus aquilex</w:t>
      </w:r>
      <w:r w:rsidRPr="00A72429">
        <w:rPr>
          <w:rFonts w:ascii="Times New Roman" w:hAnsi="Times New Roman" w:cs="Times New Roman"/>
          <w:sz w:val="24"/>
          <w:szCs w:val="24"/>
        </w:rPr>
        <w:t xml:space="preserve"> species complex in Northern Europe. Preprint: Zoology.</w:t>
      </w:r>
    </w:p>
    <w:p w14:paraId="703B0A68" w14:textId="77777777" w:rsidR="005C5D3B" w:rsidRDefault="005C5D3B">
      <w:r w:rsidRPr="00A72429">
        <w:rPr>
          <w:rFonts w:ascii="Times New Roman" w:hAnsi="Times New Roman" w:cs="Times New Roman"/>
          <w:sz w:val="24"/>
          <w:szCs w:val="24"/>
        </w:rPr>
        <w:fldChar w:fldCharType="end"/>
      </w:r>
    </w:p>
    <w:sectPr w:rsidR="005C5D3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D3B"/>
    <w:rsid w:val="002A5F7D"/>
    <w:rsid w:val="005C5D3B"/>
    <w:rsid w:val="00635990"/>
    <w:rsid w:val="00902357"/>
    <w:rsid w:val="009A3AE0"/>
    <w:rsid w:val="00A72429"/>
    <w:rsid w:val="00D169A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DBDAF"/>
  <w15:chartTrackingRefBased/>
  <w15:docId w15:val="{710AF444-CB1B-4BCB-A831-6076AB74D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D3B"/>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C5D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5C5D3B"/>
    <w:pPr>
      <w:spacing w:after="240" w:line="240" w:lineRule="auto"/>
      <w:ind w:left="720" w:hanging="720"/>
    </w:pPr>
  </w:style>
  <w:style w:type="paragraph" w:customStyle="1" w:styleId="NormalEJTstylesMaintext">
    <w:name w:val="Normal (EJT styles:Main text)"/>
    <w:basedOn w:val="Normal"/>
    <w:uiPriority w:val="99"/>
    <w:rsid w:val="009A3AE0"/>
    <w:pPr>
      <w:suppressAutoHyphens/>
      <w:autoSpaceDE w:val="0"/>
      <w:autoSpaceDN w:val="0"/>
      <w:adjustRightInd w:val="0"/>
      <w:spacing w:after="227" w:line="288" w:lineRule="auto"/>
      <w:jc w:val="both"/>
      <w:textAlignment w:val="center"/>
    </w:pPr>
    <w:rPr>
      <w:rFonts w:ascii="Times New Roman" w:hAnsi="Times New Roman" w:cs="Times New Roman"/>
      <w:color w:val="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2868</Words>
  <Characters>16350</Characters>
  <Application>Microsoft Office Word</Application>
  <DocSecurity>0</DocSecurity>
  <Lines>136</Lines>
  <Paragraphs>38</Paragraphs>
  <ScaleCrop>false</ScaleCrop>
  <Company/>
  <LinksUpToDate>false</LinksUpToDate>
  <CharactersWithSpaces>19180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Dieter Weber</dc:creator>
  <cp:keywords/>
  <dc:description/>
  <cp:lastModifiedBy>Kristiaan Hoedemakers</cp:lastModifiedBy>
  <cp:revision>2</cp:revision>
  <dcterms:created xsi:type="dcterms:W3CDTF">2025-08-21T09:19:00Z</dcterms:created>
  <dcterms:modified xsi:type="dcterms:W3CDTF">2025-08-21T09:19:00Z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zotero-version="6.0.30"&gt;&lt;session id="5tILPP4K"/&gt;&lt;style id="http://www.zotero.org/styles/european-journal-of-taxonomy" hasBibliography="1" bibliographyStyleHasBeenSet="1"/&gt;&lt;prefs&gt;&lt;pref name="fieldType" value="Field"/&gt;&lt;/prefs&gt;&lt;/data&gt;</vt:lpwstr>
  </property>
</Properties>
</file>